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400"/>
      </w:pPr>
      <w:r>
        <w:rPr>
          <w:b/>
          <w:bCs/>
          <w:color w:val="8B2A2A"/>
          <w:spacing w:val="60"/>
          <w:sz w:val="18"/>
          <w:szCs w:val="18"/>
        </w:rPr>
        <w:t xml:space="preserve">CONFIDENTIAL · FOUNDING PLANNING COMMITTEE</w:t>
      </w:r>
    </w:p>
    <w:p>
      <w:pPr>
        <w:pBdr>
          <w:bottom w:val="single" w:color="8B2A2A" w:sz="12" w:space="8"/>
        </w:pBdr>
        <w:spacing w:before="120"/>
      </w:pPr>
      <w:r>
        <w:t xml:space="preserve"/>
      </w:r>
    </w:p>
    <w:p>
      <w:pPr>
        <w:spacing w:after="120" w:before="600"/>
      </w:pPr>
      <w:r>
        <w:rPr>
          <w:rFonts w:ascii="Georgia" w:cs="Georgia" w:eastAsia="Georgia" w:hAnsi="Georgia"/>
          <w:b/>
          <w:bCs/>
          <w:color w:val="1A1A1A"/>
          <w:sz w:val="72"/>
          <w:szCs w:val="72"/>
        </w:rPr>
        <w:t xml:space="preserve">Bootcamp for Democracy</w:t>
      </w:r>
    </w:p>
    <w:p>
      <w:pPr>
        <w:spacing w:after="80"/>
      </w:pPr>
      <w:r>
        <w:rPr>
          <w:rFonts w:ascii="Georgia" w:cs="Georgia" w:eastAsia="Georgia" w:hAnsi="Georgia"/>
          <w:i/>
          <w:iCs/>
          <w:color w:val="555555"/>
          <w:sz w:val="40"/>
          <w:szCs w:val="40"/>
        </w:rPr>
        <w:t xml:space="preserve">A Preliminary Business Model</w:t>
      </w:r>
    </w:p>
    <w:p>
      <w:pPr>
        <w:spacing w:before="400"/>
      </w:pPr>
      <w:r>
        <w:rPr>
          <w:rFonts w:ascii="Georgia" w:cs="Georgia" w:eastAsia="Georgia" w:hAnsi="Georgia"/>
          <w:i/>
          <w:iCs/>
          <w:color w:val="555555"/>
          <w:sz w:val="24"/>
          <w:szCs w:val="24"/>
        </w:rPr>
        <w:t xml:space="preserve">A proposal for facilities, faculty, staffing, enrollment, and pathways for institutional growth.</w:t>
      </w:r>
    </w:p>
    <w:p>
      <w:pPr>
        <w:pBdr>
          <w:top w:val="single" w:color="CCCCCC" w:sz="6" w:space="6"/>
        </w:pBdr>
        <w:spacing w:before="1800"/>
      </w:pPr>
      <w:r>
        <w:t xml:space="preserve"/>
      </w:r>
    </w:p>
    <w:p>
      <w:pPr>
        <w:tabs>
          <w:tab w:val="right" w:pos="9026"/>
        </w:tabs>
        <w:spacing w:before="120"/>
      </w:pPr>
      <w:r>
        <w:rPr>
          <w:color w:val="555555"/>
          <w:spacing w:val="40"/>
          <w:sz w:val="18"/>
          <w:szCs w:val="18"/>
        </w:rPr>
        <w:t xml:space="preserve">Prepared for</w:t>
      </w:r>
      <w:r>
        <w:rPr>
          <w:b/>
          <w:bCs/>
          <w:color w:val="1A1A1A"/>
          <w:sz w:val="18"/>
          <w:szCs w:val="18"/>
        </w:rPr>
        <w:t xml:space="preserve">	First Planning Meeting</w:t>
      </w:r>
    </w:p>
    <w:p>
      <w:pPr>
        <w:tabs>
          <w:tab w:val="right" w:pos="9026"/>
        </w:tabs>
        <w:spacing w:before="60"/>
      </w:pPr>
      <w:r>
        <w:rPr>
          <w:color w:val="555555"/>
          <w:spacing w:val="40"/>
          <w:sz w:val="18"/>
          <w:szCs w:val="18"/>
        </w:rPr>
        <w:t xml:space="preserve">Distribution</w:t>
      </w:r>
      <w:r>
        <w:rPr>
          <w:b/>
          <w:bCs/>
          <w:color w:val="1A1A1A"/>
          <w:sz w:val="18"/>
          <w:szCs w:val="18"/>
        </w:rPr>
        <w:t xml:space="preserve">	Founding Board &amp; Advisory Council</w:t>
      </w:r>
    </w:p>
    <w:p>
      <w:pPr>
        <w:tabs>
          <w:tab w:val="right" w:pos="9026"/>
        </w:tabs>
        <w:spacing w:before="60"/>
      </w:pPr>
      <w:r>
        <w:rPr>
          <w:color w:val="555555"/>
          <w:spacing w:val="40"/>
          <w:sz w:val="18"/>
          <w:szCs w:val="18"/>
        </w:rPr>
        <w:t xml:space="preserve">College of Democratic Leadership</w:t>
      </w:r>
      <w:r>
        <w:rPr>
          <w:b/>
          <w:bCs/>
          <w:color w:val="1A1A1A"/>
          <w:sz w:val="18"/>
          <w:szCs w:val="18"/>
        </w:rPr>
        <w:t xml:space="preserve">	Washington, District of Columbia</w:t>
      </w:r>
    </w:p>
    <w:p>
      <w:r>
        <w:br w:type="page"/>
      </w:r>
    </w:p>
    <w:p>
      <w:pPr>
        <w:spacing w:after="60" w:before="80"/>
      </w:pPr>
      <w:r>
        <w:rPr>
          <w:rFonts w:ascii="Arial" w:cs="Arial" w:eastAsia="Arial" w:hAnsi="Arial"/>
          <w:b/>
          <w:bCs/>
          <w:color w:val="8B2A2A"/>
          <w:spacing w:val="40"/>
          <w:sz w:val="16"/>
          <w:szCs w:val="16"/>
        </w:rPr>
        <w:t xml:space="preserve">EXECUTIVE SUMMARY</w:t>
      </w:r>
    </w:p>
    <w:p>
      <w:pPr>
        <w:pStyle w:val="Heading1"/>
        <w:pBdr>
          <w:bottom w:val="single" w:color="8B2A2A" w:sz="8" w:space="6"/>
        </w:pBdr>
        <w:spacing w:after="180" w:before="360"/>
      </w:pPr>
      <w:r>
        <w:rPr>
          <w:rFonts w:ascii="Georgia" w:cs="Georgia" w:eastAsia="Georgia" w:hAnsi="Georgia"/>
          <w:b/>
          <w:bCs/>
          <w:color w:val="8B2A2A"/>
          <w:sz w:val="32"/>
          <w:szCs w:val="32"/>
        </w:rPr>
        <w:t xml:space="preserve">A distinctive model — at a lower operating cost.</w:t>
      </w:r>
    </w:p>
    <w:p>
      <w:pPr>
        <w:spacing w:after="120" w:line="300"/>
      </w:pPr>
      <w:r>
        <w:t xml:space="preserve">This proposal advances Bootcamp for Democracy beyond an academic exercise. If designed correctly, the college can operate at a materially lower cost than a traditional liberal arts institution while offering a more distinctive value proposition.</w:t>
      </w:r>
    </w:p>
    <w:p>
      <w:pPr>
        <w:spacing w:after="120" w:line="300"/>
      </w:pPr>
      <w:r>
        <w:t xml:space="preserve">The insight is discipline of focus: the college does not attempt to be everything to everyone. Most liberal arts colleges maintain expensive departments in chemistry, physics, biology, music performance, theater production, studio art, engineering, athletics, and dozens of majors. Bootcamp for Democracy instead organizes around a single interdisciplinary mission — educating professional practitioners of democracy — allowing it to operate with fewer specialized facilities and a leaner, more integrated faculty.</w:t>
      </w:r>
    </w:p>
    <w:p>
      <w:pPr>
        <w:pBdr>
          <w:top w:val="single" w:color="CCCCCC" w:sz="4"/>
          <w:bottom w:val="single" w:color="CCCCCC" w:sz="4"/>
          <w:left w:val="single" w:color="8B2A2A" w:sz="24" w:space="12"/>
          <w:right w:val="single" w:color="CCCCCC" w:sz="4"/>
        </w:pBdr>
        <w:shd w:fill="F5EFE3" w:color="auto" w:val="clear"/>
        <w:spacing w:after="240" w:before="240"/>
      </w:pPr>
      <w:r>
        <w:rPr>
          <w:rFonts w:ascii="Georgia" w:cs="Georgia" w:eastAsia="Georgia" w:hAnsi="Georgia"/>
          <w:i/>
          <w:iCs/>
          <w:color w:val="1A1A1A"/>
          <w:sz w:val="24"/>
          <w:szCs w:val="24"/>
        </w:rPr>
        <w:t xml:space="preserve">The college's competitive advantage is not scale, but concentration: a single mission, a shared campus, and three parallel schools that share faculty and facilities.</w:t>
      </w:r>
    </w:p>
    <w:p>
      <w:r>
        <w:br w:type="page"/>
      </w:r>
    </w:p>
    <w:p>
      <w:pPr>
        <w:spacing w:after="60" w:before="80"/>
      </w:pPr>
      <w:r>
        <w:rPr>
          <w:rFonts w:ascii="Arial" w:cs="Arial" w:eastAsia="Arial" w:hAnsi="Arial"/>
          <w:b/>
          <w:bCs/>
          <w:color w:val="8B2A2A"/>
          <w:spacing w:val="40"/>
          <w:sz w:val="16"/>
          <w:szCs w:val="16"/>
        </w:rPr>
        <w:t xml:space="preserve">§ I  ·  ENROLLMENT</w:t>
      </w:r>
    </w:p>
    <w:p>
      <w:pPr>
        <w:pStyle w:val="Heading1"/>
        <w:pBdr>
          <w:bottom w:val="single" w:color="8B2A2A" w:sz="8" w:space="6"/>
        </w:pBdr>
        <w:spacing w:after="180" w:before="360"/>
      </w:pPr>
      <w:r>
        <w:rPr>
          <w:rFonts w:ascii="Georgia" w:cs="Georgia" w:eastAsia="Georgia" w:hAnsi="Georgia"/>
          <w:b/>
          <w:bCs/>
          <w:color w:val="8B2A2A"/>
          <w:sz w:val="32"/>
          <w:szCs w:val="32"/>
        </w:rPr>
        <w:t xml:space="preserve">Sized for community, not spectacle.</w:t>
      </w:r>
    </w:p>
    <w:p>
      <w:pPr>
        <w:spacing w:after="120" w:line="300"/>
      </w:pPr>
      <w:r>
        <w:t xml:space="preserve">Bootcamp for Democracy should not open at 2,000 students. A phased target preserves close faculty interaction while establishing a vibrant academic community.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CCCCCC" w:sz="4"/>
              <w:left w:val="single" w:color="CCCCCC" w:sz="4"/>
              <w:bottom w:val="single" w:color="CCCCCC" w:sz="4"/>
              <w:right w:val="single" w:color="CCCCCC" w:sz="4"/>
            </w:tcBorders>
            <w:shd w:fill="8B2A2A" w:color="auto" w:val="clear"/>
            <w:tcMar>
              <w:top w:type="dxa" w:w="100"/>
              <w:left w:type="dxa" w:w="140"/>
              <w:bottom w:type="dxa" w:w="100"/>
              <w:right w:type="dxa" w:w="140"/>
            </w:tcMar>
          </w:tcPr>
          <w:p>
            <w:pPr>
              <w:jc w:val="left"/>
            </w:pPr>
            <w:r>
              <w:rPr>
                <w:b/>
                <w:bCs/>
                <w:color w:val="FFFFFF"/>
                <w:sz w:val="20"/>
                <w:szCs w:val="20"/>
              </w:rPr>
              <w:t xml:space="preserve">Phase</w:t>
            </w:r>
          </w:p>
        </w:tc>
        <w:tc>
          <w:tcPr>
            <w:tcW w:type="dxa" w:w="3120"/>
            <w:tcBorders>
              <w:top w:val="single" w:color="CCCCCC" w:sz="4"/>
              <w:left w:val="single" w:color="CCCCCC" w:sz="4"/>
              <w:bottom w:val="single" w:color="CCCCCC" w:sz="4"/>
              <w:right w:val="single" w:color="CCCCCC" w:sz="4"/>
            </w:tcBorders>
            <w:shd w:fill="8B2A2A" w:color="auto" w:val="clear"/>
            <w:tcMar>
              <w:top w:type="dxa" w:w="100"/>
              <w:left w:type="dxa" w:w="140"/>
              <w:bottom w:type="dxa" w:w="100"/>
              <w:right w:type="dxa" w:w="140"/>
            </w:tcMar>
          </w:tcPr>
          <w:p>
            <w:pPr>
              <w:jc w:val="left"/>
            </w:pPr>
            <w:r>
              <w:rPr>
                <w:b/>
                <w:bCs/>
                <w:color w:val="FFFFFF"/>
                <w:sz w:val="20"/>
                <w:szCs w:val="20"/>
              </w:rPr>
              <w:t xml:space="preserve">Timeline</w:t>
            </w:r>
          </w:p>
        </w:tc>
        <w:tc>
          <w:tcPr>
            <w:tcW w:type="dxa" w:w="3120"/>
            <w:tcBorders>
              <w:top w:val="single" w:color="CCCCCC" w:sz="4"/>
              <w:left w:val="single" w:color="CCCCCC" w:sz="4"/>
              <w:bottom w:val="single" w:color="CCCCCC" w:sz="4"/>
              <w:right w:val="single" w:color="CCCCCC" w:sz="4"/>
            </w:tcBorders>
            <w:shd w:fill="8B2A2A" w:color="auto" w:val="clear"/>
            <w:tcMar>
              <w:top w:type="dxa" w:w="100"/>
              <w:left w:type="dxa" w:w="140"/>
              <w:bottom w:type="dxa" w:w="100"/>
              <w:right w:type="dxa" w:w="140"/>
            </w:tcMar>
          </w:tcPr>
          <w:p>
            <w:pPr>
              <w:jc w:val="right"/>
            </w:pPr>
            <w:r>
              <w:rPr>
                <w:b/>
                <w:bCs/>
                <w:color w:val="FFFFFF"/>
                <w:sz w:val="20"/>
                <w:szCs w:val="20"/>
              </w:rPr>
              <w:t xml:space="preserve">Students</w:t>
            </w:r>
          </w:p>
        </w:tc>
      </w:tr>
      <w:tr>
        <w:tc>
          <w:tcPr>
            <w:tcW w:type="dxa" w:w="3120"/>
            <w:tcBorders>
              <w:top w:val="single" w:color="CCCCCC" w:sz="4"/>
              <w:left w:val="single" w:color="CCCCCC" w:sz="4"/>
              <w:bottom w:val="single" w:color="CCCCCC" w:sz="4"/>
              <w:right w:val="single" w:color="CCCCCC" w:sz="4"/>
            </w:tcBorders>
            <w:shd w:fill="FFFFFF" w:color="auto" w:val="clear"/>
            <w:tcMar>
              <w:top w:type="dxa" w:w="100"/>
              <w:left w:type="dxa" w:w="140"/>
              <w:bottom w:type="dxa" w:w="100"/>
              <w:right w:type="dxa" w:w="140"/>
            </w:tcMar>
          </w:tcPr>
          <w:p>
            <w:pPr>
              <w:jc w:val="left"/>
            </w:pPr>
            <w:r>
              <w:rPr>
                <w:b/>
                <w:bCs/>
                <w:color w:val="1A1A1A"/>
                <w:sz w:val="20"/>
                <w:szCs w:val="20"/>
              </w:rPr>
              <w:t xml:space="preserve">Launch</w:t>
            </w:r>
          </w:p>
        </w:tc>
        <w:tc>
          <w:tcPr>
            <w:tcW w:type="dxa" w:w="3120"/>
            <w:tcBorders>
              <w:top w:val="single" w:color="CCCCCC" w:sz="4"/>
              <w:left w:val="single" w:color="CCCCCC" w:sz="4"/>
              <w:bottom w:val="single" w:color="CCCCCC" w:sz="4"/>
              <w:right w:val="single" w:color="CCCCCC" w:sz="4"/>
            </w:tcBorders>
            <w:shd w:fill="FFFFFF" w:color="auto" w:val="clear"/>
            <w:tcMar>
              <w:top w:type="dxa" w:w="100"/>
              <w:left w:type="dxa" w:w="140"/>
              <w:bottom w:type="dxa" w:w="100"/>
              <w:right w:type="dxa" w:w="140"/>
            </w:tcMar>
          </w:tcPr>
          <w:p>
            <w:pPr>
              <w:jc w:val="left"/>
            </w:pPr>
            <w:r>
              <w:rPr>
                <w:b w:val="false"/>
                <w:bCs w:val="false"/>
                <w:color w:val="1A1A1A"/>
                <w:sz w:val="20"/>
                <w:szCs w:val="20"/>
              </w:rPr>
              <w:t xml:space="preserve">Year 1</w:t>
            </w:r>
          </w:p>
        </w:tc>
        <w:tc>
          <w:tcPr>
            <w:tcW w:type="dxa" w:w="3120"/>
            <w:tcBorders>
              <w:top w:val="single" w:color="CCCCCC" w:sz="4"/>
              <w:left w:val="single" w:color="CCCCCC" w:sz="4"/>
              <w:bottom w:val="single" w:color="CCCCCC" w:sz="4"/>
              <w:right w:val="single" w:color="CCCCCC" w:sz="4"/>
            </w:tcBorders>
            <w:shd w:fill="FFFFFF" w:color="auto" w:val="clear"/>
            <w:tcMar>
              <w:top w:type="dxa" w:w="100"/>
              <w:left w:type="dxa" w:w="140"/>
              <w:bottom w:type="dxa" w:w="100"/>
              <w:right w:type="dxa" w:w="140"/>
            </w:tcMar>
          </w:tcPr>
          <w:p>
            <w:pPr>
              <w:jc w:val="right"/>
            </w:pPr>
            <w:r>
              <w:rPr>
                <w:b/>
                <w:bCs/>
                <w:color w:val="1A1A1A"/>
                <w:sz w:val="20"/>
                <w:szCs w:val="20"/>
              </w:rPr>
              <w:t xml:space="preserve">250</w:t>
            </w:r>
          </w:p>
        </w:tc>
      </w:tr>
      <w:tr>
        <w:tc>
          <w:tcPr>
            <w:tcW w:type="dxa" w:w="3120"/>
            <w:tcBorders>
              <w:top w:val="single" w:color="CCCCCC" w:sz="4"/>
              <w:left w:val="single" w:color="CCCCCC" w:sz="4"/>
              <w:bottom w:val="single" w:color="CCCCCC" w:sz="4"/>
              <w:right w:val="single" w:color="CCCCCC" w:sz="4"/>
            </w:tcBorders>
            <w:shd w:fill="F5EFE3" w:color="auto" w:val="clear"/>
            <w:tcMar>
              <w:top w:type="dxa" w:w="100"/>
              <w:left w:type="dxa" w:w="140"/>
              <w:bottom w:type="dxa" w:w="100"/>
              <w:right w:type="dxa" w:w="140"/>
            </w:tcMar>
          </w:tcPr>
          <w:p>
            <w:pPr>
              <w:jc w:val="left"/>
            </w:pPr>
            <w:r>
              <w:rPr>
                <w:b/>
                <w:bCs/>
                <w:color w:val="1A1A1A"/>
                <w:sz w:val="20"/>
                <w:szCs w:val="20"/>
              </w:rPr>
              <w:t xml:space="preserve">Growth</w:t>
            </w:r>
          </w:p>
        </w:tc>
        <w:tc>
          <w:tcPr>
            <w:tcW w:type="dxa" w:w="3120"/>
            <w:tcBorders>
              <w:top w:val="single" w:color="CCCCCC" w:sz="4"/>
              <w:left w:val="single" w:color="CCCCCC" w:sz="4"/>
              <w:bottom w:val="single" w:color="CCCCCC" w:sz="4"/>
              <w:right w:val="single" w:color="CCCCCC" w:sz="4"/>
            </w:tcBorders>
            <w:shd w:fill="F5EFE3" w:color="auto" w:val="clear"/>
            <w:tcMar>
              <w:top w:type="dxa" w:w="100"/>
              <w:left w:type="dxa" w:w="140"/>
              <w:bottom w:type="dxa" w:w="100"/>
              <w:right w:type="dxa" w:w="140"/>
            </w:tcMar>
          </w:tcPr>
          <w:p>
            <w:pPr>
              <w:jc w:val="left"/>
            </w:pPr>
            <w:r>
              <w:rPr>
                <w:b w:val="false"/>
                <w:bCs w:val="false"/>
                <w:color w:val="1A1A1A"/>
                <w:sz w:val="20"/>
                <w:szCs w:val="20"/>
              </w:rPr>
              <w:t xml:space="preserve">Year 3</w:t>
            </w:r>
          </w:p>
        </w:tc>
        <w:tc>
          <w:tcPr>
            <w:tcW w:type="dxa" w:w="3120"/>
            <w:tcBorders>
              <w:top w:val="single" w:color="CCCCCC" w:sz="4"/>
              <w:left w:val="single" w:color="CCCCCC" w:sz="4"/>
              <w:bottom w:val="single" w:color="CCCCCC" w:sz="4"/>
              <w:right w:val="single" w:color="CCCCCC" w:sz="4"/>
            </w:tcBorders>
            <w:shd w:fill="F5EFE3" w:color="auto" w:val="clear"/>
            <w:tcMar>
              <w:top w:type="dxa" w:w="100"/>
              <w:left w:type="dxa" w:w="140"/>
              <w:bottom w:type="dxa" w:w="100"/>
              <w:right w:type="dxa" w:w="140"/>
            </w:tcMar>
          </w:tcPr>
          <w:p>
            <w:pPr>
              <w:jc w:val="right"/>
            </w:pPr>
            <w:r>
              <w:rPr>
                <w:b/>
                <w:bCs/>
                <w:color w:val="1A1A1A"/>
                <w:sz w:val="20"/>
                <w:szCs w:val="20"/>
              </w:rPr>
              <w:t xml:space="preserve">500</w:t>
            </w:r>
          </w:p>
        </w:tc>
      </w:tr>
      <w:tr>
        <w:tc>
          <w:tcPr>
            <w:tcW w:type="dxa" w:w="3120"/>
            <w:tcBorders>
              <w:top w:val="single" w:color="CCCCCC" w:sz="4"/>
              <w:left w:val="single" w:color="CCCCCC" w:sz="4"/>
              <w:bottom w:val="single" w:color="CCCCCC" w:sz="4"/>
              <w:right w:val="single" w:color="CCCCCC" w:sz="4"/>
            </w:tcBorders>
            <w:shd w:fill="FFFFFF" w:color="auto" w:val="clear"/>
            <w:tcMar>
              <w:top w:type="dxa" w:w="100"/>
              <w:left w:type="dxa" w:w="140"/>
              <w:bottom w:type="dxa" w:w="100"/>
              <w:right w:type="dxa" w:w="140"/>
            </w:tcMar>
          </w:tcPr>
          <w:p>
            <w:pPr>
              <w:jc w:val="left"/>
            </w:pPr>
            <w:r>
              <w:rPr>
                <w:b/>
                <w:bCs/>
                <w:color w:val="1A1A1A"/>
                <w:sz w:val="20"/>
                <w:szCs w:val="20"/>
              </w:rPr>
              <w:t xml:space="preserve">Expansion</w:t>
            </w:r>
          </w:p>
        </w:tc>
        <w:tc>
          <w:tcPr>
            <w:tcW w:type="dxa" w:w="3120"/>
            <w:tcBorders>
              <w:top w:val="single" w:color="CCCCCC" w:sz="4"/>
              <w:left w:val="single" w:color="CCCCCC" w:sz="4"/>
              <w:bottom w:val="single" w:color="CCCCCC" w:sz="4"/>
              <w:right w:val="single" w:color="CCCCCC" w:sz="4"/>
            </w:tcBorders>
            <w:shd w:fill="FFFFFF" w:color="auto" w:val="clear"/>
            <w:tcMar>
              <w:top w:type="dxa" w:w="100"/>
              <w:left w:type="dxa" w:w="140"/>
              <w:bottom w:type="dxa" w:w="100"/>
              <w:right w:type="dxa" w:w="140"/>
            </w:tcMar>
          </w:tcPr>
          <w:p>
            <w:pPr>
              <w:jc w:val="left"/>
            </w:pPr>
            <w:r>
              <w:rPr>
                <w:b w:val="false"/>
                <w:bCs w:val="false"/>
                <w:color w:val="1A1A1A"/>
                <w:sz w:val="20"/>
                <w:szCs w:val="20"/>
              </w:rPr>
              <w:t xml:space="preserve">Year 5</w:t>
            </w:r>
          </w:p>
        </w:tc>
        <w:tc>
          <w:tcPr>
            <w:tcW w:type="dxa" w:w="3120"/>
            <w:tcBorders>
              <w:top w:val="single" w:color="CCCCCC" w:sz="4"/>
              <w:left w:val="single" w:color="CCCCCC" w:sz="4"/>
              <w:bottom w:val="single" w:color="CCCCCC" w:sz="4"/>
              <w:right w:val="single" w:color="CCCCCC" w:sz="4"/>
            </w:tcBorders>
            <w:shd w:fill="FFFFFF" w:color="auto" w:val="clear"/>
            <w:tcMar>
              <w:top w:type="dxa" w:w="100"/>
              <w:left w:type="dxa" w:w="140"/>
              <w:bottom w:type="dxa" w:w="100"/>
              <w:right w:type="dxa" w:w="140"/>
            </w:tcMar>
          </w:tcPr>
          <w:p>
            <w:pPr>
              <w:jc w:val="right"/>
            </w:pPr>
            <w:r>
              <w:rPr>
                <w:b/>
                <w:bCs/>
                <w:color w:val="1A1A1A"/>
                <w:sz w:val="20"/>
                <w:szCs w:val="20"/>
              </w:rPr>
              <w:t xml:space="preserve">800</w:t>
            </w:r>
          </w:p>
        </w:tc>
      </w:tr>
      <w:tr>
        <w:tc>
          <w:tcPr>
            <w:tcW w:type="dxa" w:w="3120"/>
            <w:tcBorders>
              <w:top w:val="single" w:color="CCCCCC" w:sz="4"/>
              <w:left w:val="single" w:color="CCCCCC" w:sz="4"/>
              <w:bottom w:val="single" w:color="CCCCCC" w:sz="4"/>
              <w:right w:val="single" w:color="CCCCCC" w:sz="4"/>
            </w:tcBorders>
            <w:shd w:fill="F5EFE3" w:color="auto" w:val="clear"/>
            <w:tcMar>
              <w:top w:type="dxa" w:w="100"/>
              <w:left w:type="dxa" w:w="140"/>
              <w:bottom w:type="dxa" w:w="100"/>
              <w:right w:type="dxa" w:w="140"/>
            </w:tcMar>
          </w:tcPr>
          <w:p>
            <w:pPr>
              <w:jc w:val="left"/>
            </w:pPr>
            <w:r>
              <w:rPr>
                <w:b/>
                <w:bCs/>
                <w:color w:val="1A1A1A"/>
                <w:sz w:val="20"/>
                <w:szCs w:val="20"/>
              </w:rPr>
              <w:t xml:space="preserve">Mature</w:t>
            </w:r>
          </w:p>
        </w:tc>
        <w:tc>
          <w:tcPr>
            <w:tcW w:type="dxa" w:w="3120"/>
            <w:tcBorders>
              <w:top w:val="single" w:color="CCCCCC" w:sz="4"/>
              <w:left w:val="single" w:color="CCCCCC" w:sz="4"/>
              <w:bottom w:val="single" w:color="CCCCCC" w:sz="4"/>
              <w:right w:val="single" w:color="CCCCCC" w:sz="4"/>
            </w:tcBorders>
            <w:shd w:fill="F5EFE3" w:color="auto" w:val="clear"/>
            <w:tcMar>
              <w:top w:type="dxa" w:w="100"/>
              <w:left w:type="dxa" w:w="140"/>
              <w:bottom w:type="dxa" w:w="100"/>
              <w:right w:type="dxa" w:w="140"/>
            </w:tcMar>
          </w:tcPr>
          <w:p>
            <w:pPr>
              <w:jc w:val="left"/>
            </w:pPr>
            <w:r>
              <w:rPr>
                <w:b w:val="false"/>
                <w:bCs w:val="false"/>
                <w:color w:val="1A1A1A"/>
                <w:sz w:val="20"/>
                <w:szCs w:val="20"/>
              </w:rPr>
              <w:t xml:space="preserve">Year 7+</w:t>
            </w:r>
          </w:p>
        </w:tc>
        <w:tc>
          <w:tcPr>
            <w:tcW w:type="dxa" w:w="3120"/>
            <w:tcBorders>
              <w:top w:val="single" w:color="CCCCCC" w:sz="4"/>
              <w:left w:val="single" w:color="CCCCCC" w:sz="4"/>
              <w:bottom w:val="single" w:color="CCCCCC" w:sz="4"/>
              <w:right w:val="single" w:color="CCCCCC" w:sz="4"/>
            </w:tcBorders>
            <w:shd w:fill="F5EFE3" w:color="auto" w:val="clear"/>
            <w:tcMar>
              <w:top w:type="dxa" w:w="100"/>
              <w:left w:type="dxa" w:w="140"/>
              <w:bottom w:type="dxa" w:w="100"/>
              <w:right w:type="dxa" w:w="140"/>
            </w:tcMar>
          </w:tcPr>
          <w:p>
            <w:pPr>
              <w:jc w:val="right"/>
            </w:pPr>
            <w:r>
              <w:rPr>
                <w:b/>
                <w:bCs/>
                <w:color w:val="1A1A1A"/>
                <w:sz w:val="20"/>
                <w:szCs w:val="20"/>
              </w:rPr>
              <w:t xml:space="preserve">1,000 – 1,200</w:t>
            </w:r>
          </w:p>
        </w:tc>
      </w:tr>
    </w:tbl>
    <w:p>
      <w:pPr>
        <w:spacing w:after="120" w:line="300"/>
      </w:pPr>
      <w:r>
        <w:t xml:space="preserve">This size — capping at roughly 1,200 — is large enough to sustain a broad interdisciplinary curriculum and a full residential experience, and small enough to preserve the seminar culture on which the pedagogy depends.</w:t>
      </w:r>
    </w:p>
    <w:p>
      <w:r>
        <w:br w:type="page"/>
      </w:r>
    </w:p>
    <w:p>
      <w:pPr>
        <w:spacing w:after="60" w:before="80"/>
      </w:pPr>
      <w:r>
        <w:rPr>
          <w:rFonts w:ascii="Arial" w:cs="Arial" w:eastAsia="Arial" w:hAnsi="Arial"/>
          <w:b/>
          <w:bCs/>
          <w:color w:val="8B2A2A"/>
          <w:spacing w:val="40"/>
          <w:sz w:val="16"/>
          <w:szCs w:val="16"/>
        </w:rPr>
        <w:t xml:space="preserve">§ II  ·  CAMPUS</w:t>
      </w:r>
    </w:p>
    <w:p>
      <w:pPr>
        <w:pStyle w:val="Heading1"/>
        <w:pBdr>
          <w:bottom w:val="single" w:color="8B2A2A" w:sz="8" w:space="6"/>
        </w:pBdr>
        <w:spacing w:after="180" w:before="360"/>
      </w:pPr>
      <w:r>
        <w:rPr>
          <w:rFonts w:ascii="Georgia" w:cs="Georgia" w:eastAsia="Georgia" w:hAnsi="Georgia"/>
          <w:b/>
          <w:bCs/>
          <w:color w:val="8B2A2A"/>
          <w:sz w:val="32"/>
          <w:szCs w:val="32"/>
        </w:rPr>
        <w:t xml:space="preserve">What the college does not need.</w:t>
      </w:r>
    </w:p>
    <w:p>
      <w:pPr>
        <w:spacing w:after="120" w:line="300"/>
      </w:pPr>
      <w:r>
        <w:t xml:space="preserve">Unlike a traditional liberal arts campus, Bootcamp for Democracy does not require the following categories of facility:</w:t>
      </w:r>
    </w:p>
    <w:p>
      <w:pPr>
        <w:pStyle w:val="ListParagraph"/>
        <w:numPr>
          <w:ilvl w:val="0"/>
          <w:numId w:val="2"/>
        </w:numPr>
        <w:spacing w:after="60"/>
      </w:pPr>
      <w:r>
        <w:t xml:space="preserve">Football stadium</w:t>
      </w:r>
    </w:p>
    <w:p>
      <w:pPr>
        <w:pStyle w:val="ListParagraph"/>
        <w:numPr>
          <w:ilvl w:val="0"/>
          <w:numId w:val="2"/>
        </w:numPr>
        <w:spacing w:after="60"/>
      </w:pPr>
      <w:r>
        <w:t xml:space="preserve">Swimming pool</w:t>
      </w:r>
    </w:p>
    <w:p>
      <w:pPr>
        <w:pStyle w:val="ListParagraph"/>
        <w:numPr>
          <w:ilvl w:val="0"/>
          <w:numId w:val="2"/>
        </w:numPr>
        <w:spacing w:after="60"/>
      </w:pPr>
      <w:r>
        <w:t xml:space="preserve">Engineering laboratories</w:t>
      </w:r>
    </w:p>
    <w:p>
      <w:pPr>
        <w:pStyle w:val="ListParagraph"/>
        <w:numPr>
          <w:ilvl w:val="0"/>
          <w:numId w:val="2"/>
        </w:numPr>
        <w:spacing w:after="60"/>
      </w:pPr>
      <w:r>
        <w:t xml:space="preserve">Chemistry laboratories</w:t>
      </w:r>
    </w:p>
    <w:p>
      <w:pPr>
        <w:pStyle w:val="ListParagraph"/>
        <w:numPr>
          <w:ilvl w:val="0"/>
          <w:numId w:val="2"/>
        </w:numPr>
        <w:spacing w:after="60"/>
      </w:pPr>
      <w:r>
        <w:t xml:space="preserve">Expensive science research buildings</w:t>
      </w:r>
    </w:p>
    <w:p>
      <w:pPr>
        <w:pStyle w:val="ListParagraph"/>
        <w:numPr>
          <w:ilvl w:val="0"/>
          <w:numId w:val="2"/>
        </w:numPr>
        <w:spacing w:after="60"/>
      </w:pPr>
      <w:r>
        <w:t xml:space="preserve">Large performing arts center</w:t>
      </w:r>
    </w:p>
    <w:p>
      <w:pPr>
        <w:pStyle w:val="ListParagraph"/>
        <w:numPr>
          <w:ilvl w:val="0"/>
          <w:numId w:val="2"/>
        </w:numPr>
        <w:spacing w:after="60"/>
      </w:pPr>
      <w:r>
        <w:t xml:space="preserve">Agricultural facilities</w:t>
      </w:r>
    </w:p>
    <w:p>
      <w:pPr>
        <w:spacing w:after="120" w:line="300"/>
      </w:pPr>
      <w:r>
        <w:t xml:space="preserve">Instead, the campus is purpose-built for deliberation, simulation, and public engagement. Every square foot serves the mission.</w:t>
      </w:r>
    </w:p>
    <w:p>
      <w:pPr>
        <w:pStyle w:val="Heading2"/>
        <w:spacing w:after="120" w:before="280"/>
      </w:pPr>
      <w:r>
        <w:rPr>
          <w:rFonts w:ascii="Georgia" w:cs="Georgia" w:eastAsia="Georgia" w:hAnsi="Georgia"/>
          <w:b/>
          <w:bCs/>
          <w:color w:val="1A1A1A"/>
          <w:sz w:val="26"/>
          <w:szCs w:val="26"/>
        </w:rPr>
        <w:t xml:space="preserve">Academic Building  ·  approx. 60,000 sq. ft.</w:t>
      </w:r>
    </w:p>
    <w:p>
      <w:pPr>
        <w:pStyle w:val="ListParagraph"/>
        <w:numPr>
          <w:ilvl w:val="0"/>
          <w:numId w:val="2"/>
        </w:numPr>
        <w:spacing w:after="60"/>
      </w:pPr>
      <w:r>
        <w:t xml:space="preserve">25 classrooms</w:t>
      </w:r>
    </w:p>
    <w:p>
      <w:pPr>
        <w:pStyle w:val="ListParagraph"/>
        <w:numPr>
          <w:ilvl w:val="0"/>
          <w:numId w:val="2"/>
        </w:numPr>
        <w:spacing w:after="60"/>
      </w:pPr>
      <w:r>
        <w:t xml:space="preserve">10 seminar rooms</w:t>
      </w:r>
    </w:p>
    <w:p>
      <w:pPr>
        <w:pStyle w:val="ListParagraph"/>
        <w:numPr>
          <w:ilvl w:val="0"/>
          <w:numId w:val="2"/>
        </w:numPr>
        <w:spacing w:after="60"/>
      </w:pPr>
      <w:r>
        <w:t xml:space="preserve">Faculty offices</w:t>
      </w:r>
    </w:p>
    <w:p>
      <w:pPr>
        <w:pStyle w:val="ListParagraph"/>
        <w:numPr>
          <w:ilvl w:val="0"/>
          <w:numId w:val="2"/>
        </w:numPr>
        <w:spacing w:after="60"/>
      </w:pPr>
      <w:r>
        <w:t xml:space="preserve">Moot courtroom</w:t>
      </w:r>
    </w:p>
    <w:p>
      <w:pPr>
        <w:pStyle w:val="ListParagraph"/>
        <w:numPr>
          <w:ilvl w:val="0"/>
          <w:numId w:val="2"/>
        </w:numPr>
        <w:spacing w:after="60"/>
      </w:pPr>
      <w:r>
        <w:t xml:space="preserve">Debate chamber</w:t>
      </w:r>
    </w:p>
    <w:p>
      <w:pPr>
        <w:pStyle w:val="ListParagraph"/>
        <w:numPr>
          <w:ilvl w:val="0"/>
          <w:numId w:val="2"/>
        </w:numPr>
        <w:spacing w:after="60"/>
      </w:pPr>
      <w:r>
        <w:t xml:space="preserve">Media interview studio</w:t>
      </w:r>
    </w:p>
    <w:p>
      <w:pPr>
        <w:pStyle w:val="Heading2"/>
        <w:spacing w:after="120" w:before="280"/>
      </w:pPr>
      <w:r>
        <w:rPr>
          <w:rFonts w:ascii="Georgia" w:cs="Georgia" w:eastAsia="Georgia" w:hAnsi="Georgia"/>
          <w:b/>
          <w:bCs/>
          <w:color w:val="1A1A1A"/>
          <w:sz w:val="26"/>
          <w:szCs w:val="26"/>
        </w:rPr>
        <w:t xml:space="preserve">Democracy Center  ·  the signature building</w:t>
      </w:r>
    </w:p>
    <w:p>
      <w:pPr>
        <w:spacing w:after="120" w:line="300"/>
      </w:pPr>
      <w:r>
        <w:t xml:space="preserve">The heart of the institution. Every student uses it every week.</w:t>
      </w:r>
    </w:p>
    <w:p>
      <w:pPr>
        <w:pStyle w:val="ListParagraph"/>
        <w:numPr>
          <w:ilvl w:val="0"/>
          <w:numId w:val="2"/>
        </w:numPr>
        <w:spacing w:after="60"/>
      </w:pPr>
      <w:r>
        <w:t xml:space="preserve">Legislative chamber</w:t>
      </w:r>
    </w:p>
    <w:p>
      <w:pPr>
        <w:pStyle w:val="ListParagraph"/>
        <w:numPr>
          <w:ilvl w:val="0"/>
          <w:numId w:val="2"/>
        </w:numPr>
        <w:spacing w:after="60"/>
      </w:pPr>
      <w:r>
        <w:t xml:space="preserve">Campaign headquarters simulation</w:t>
      </w:r>
    </w:p>
    <w:p>
      <w:pPr>
        <w:pStyle w:val="ListParagraph"/>
        <w:numPr>
          <w:ilvl w:val="0"/>
          <w:numId w:val="2"/>
        </w:numPr>
        <w:spacing w:after="60"/>
      </w:pPr>
      <w:r>
        <w:t xml:space="preserve">Election command center</w:t>
      </w:r>
    </w:p>
    <w:p>
      <w:pPr>
        <w:pStyle w:val="ListParagraph"/>
        <w:numPr>
          <w:ilvl w:val="0"/>
          <w:numId w:val="2"/>
        </w:numPr>
        <w:spacing w:after="60"/>
      </w:pPr>
      <w:r>
        <w:t xml:space="preserve">Polling laboratory</w:t>
      </w:r>
    </w:p>
    <w:p>
      <w:pPr>
        <w:pStyle w:val="ListParagraph"/>
        <w:numPr>
          <w:ilvl w:val="0"/>
          <w:numId w:val="2"/>
        </w:numPr>
        <w:spacing w:after="60"/>
      </w:pPr>
      <w:r>
        <w:t xml:space="preserve">GIS and data laboratory</w:t>
      </w:r>
    </w:p>
    <w:p>
      <w:pPr>
        <w:pStyle w:val="ListParagraph"/>
        <w:numPr>
          <w:ilvl w:val="0"/>
          <w:numId w:val="2"/>
        </w:numPr>
        <w:spacing w:after="60"/>
      </w:pPr>
      <w:r>
        <w:t xml:space="preserve">Media, podcast, and television studios</w:t>
      </w:r>
    </w:p>
    <w:p>
      <w:pPr>
        <w:pStyle w:val="ListParagraph"/>
        <w:numPr>
          <w:ilvl w:val="0"/>
          <w:numId w:val="2"/>
        </w:numPr>
        <w:spacing w:after="60"/>
      </w:pPr>
      <w:r>
        <w:t xml:space="preserve">Press briefing room</w:t>
      </w:r>
    </w:p>
    <w:p>
      <w:pPr>
        <w:pStyle w:val="Heading2"/>
        <w:spacing w:after="120" w:before="280"/>
      </w:pPr>
      <w:r>
        <w:rPr>
          <w:rFonts w:ascii="Georgia" w:cs="Georgia" w:eastAsia="Georgia" w:hAnsi="Georgia"/>
          <w:b/>
          <w:bCs/>
          <w:color w:val="1A1A1A"/>
          <w:sz w:val="26"/>
          <w:szCs w:val="26"/>
        </w:rPr>
        <w:t xml:space="preserve">Library</w:t>
      </w:r>
    </w:p>
    <w:p>
      <w:pPr>
        <w:spacing w:after="120" w:line="300"/>
      </w:pPr>
      <w:r>
        <w:t xml:space="preserve">Smaller than a traditional research library. Collection depth is concentrated in constitutional law, history, public policy, digital archives, government documents, and collaborative workspaces.</w:t>
      </w:r>
    </w:p>
    <w:p>
      <w:pPr>
        <w:pStyle w:val="Heading2"/>
        <w:spacing w:after="120" w:before="280"/>
      </w:pPr>
      <w:r>
        <w:rPr>
          <w:rFonts w:ascii="Georgia" w:cs="Georgia" w:eastAsia="Georgia" w:hAnsi="Georgia"/>
          <w:b/>
          <w:bCs/>
          <w:color w:val="1A1A1A"/>
          <w:sz w:val="26"/>
          <w:szCs w:val="26"/>
        </w:rPr>
        <w:t xml:space="preserve">Residence Halls</w:t>
      </w:r>
    </w:p>
    <w:p>
      <w:pPr>
        <w:spacing w:after="120" w:line="300"/>
      </w:pPr>
      <w:r>
        <w:t xml:space="preserve">250 beds at launch. Expandable to approximately 1,000 beds at maturity.</w:t>
      </w:r>
    </w:p>
    <w:p>
      <w:pPr>
        <w:pStyle w:val="Heading2"/>
        <w:spacing w:after="120" w:before="280"/>
      </w:pPr>
      <w:r>
        <w:rPr>
          <w:rFonts w:ascii="Georgia" w:cs="Georgia" w:eastAsia="Georgia" w:hAnsi="Georgia"/>
          <w:b/>
          <w:bCs/>
          <w:color w:val="1A1A1A"/>
          <w:sz w:val="26"/>
          <w:szCs w:val="26"/>
        </w:rPr>
        <w:t xml:space="preserve">Student Center</w:t>
      </w:r>
    </w:p>
    <w:p>
      <w:pPr>
        <w:spacing w:after="120" w:line="300"/>
      </w:pPr>
      <w:r>
        <w:t xml:space="preserve">Dining, café, bookstore, event space, and homes for student organizations.</w:t>
      </w:r>
    </w:p>
    <w:p>
      <w:r>
        <w:br w:type="page"/>
      </w:r>
    </w:p>
    <w:p>
      <w:pPr>
        <w:spacing w:after="60" w:before="80"/>
      </w:pPr>
      <w:r>
        <w:rPr>
          <w:rFonts w:ascii="Arial" w:cs="Arial" w:eastAsia="Arial" w:hAnsi="Arial"/>
          <w:b/>
          <w:bCs/>
          <w:color w:val="8B2A2A"/>
          <w:spacing w:val="40"/>
          <w:sz w:val="16"/>
          <w:szCs w:val="16"/>
        </w:rPr>
        <w:t xml:space="preserve">§ III  ·  FACULTY</w:t>
      </w:r>
    </w:p>
    <w:p>
      <w:pPr>
        <w:pStyle w:val="Heading1"/>
        <w:pBdr>
          <w:bottom w:val="single" w:color="8B2A2A" w:sz="8" w:space="6"/>
        </w:pBdr>
        <w:spacing w:after="180" w:before="360"/>
      </w:pPr>
      <w:r>
        <w:rPr>
          <w:rFonts w:ascii="Georgia" w:cs="Georgia" w:eastAsia="Georgia" w:hAnsi="Georgia"/>
          <w:b/>
          <w:bCs/>
          <w:color w:val="8B2A2A"/>
          <w:sz w:val="32"/>
          <w:szCs w:val="32"/>
        </w:rPr>
        <w:t xml:space="preserve">An interdisciplinary faculty, teaching across the curriculum.</w:t>
      </w:r>
    </w:p>
    <w:p>
      <w:pPr>
        <w:spacing w:after="120" w:line="300"/>
      </w:pPr>
      <w:r>
        <w:t xml:space="preserve">Because the curriculum is highly interdisciplinary, faculty are appointed with the expectation that they teach across programs. A political scientist may co-teach with a journalist; a lawyer with a statistician; an economist with a philosopher.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360"/>
        <w:gridCol w:w="3000"/>
      </w:tblGrid>
      <w:tr>
        <w:trPr>
          <w:tblHeader/>
        </w:trPr>
        <w:tc>
          <w:tcPr>
            <w:tcW w:type="dxa" w:w="6360"/>
            <w:tcBorders>
              <w:top w:val="single" w:color="CCCCCC" w:sz="4"/>
              <w:left w:val="single" w:color="CCCCCC" w:sz="4"/>
              <w:bottom w:val="single" w:color="CCCCCC" w:sz="4"/>
              <w:right w:val="single" w:color="CCCCCC" w:sz="4"/>
            </w:tcBorders>
            <w:shd w:fill="8B2A2A" w:color="auto" w:val="clear"/>
            <w:tcMar>
              <w:top w:type="dxa" w:w="100"/>
              <w:left w:type="dxa" w:w="140"/>
              <w:bottom w:type="dxa" w:w="100"/>
              <w:right w:type="dxa" w:w="140"/>
            </w:tcMar>
          </w:tcPr>
          <w:p>
            <w:pPr>
              <w:jc w:val="left"/>
            </w:pPr>
            <w:r>
              <w:rPr>
                <w:b/>
                <w:bCs/>
                <w:color w:val="FFFFFF"/>
                <w:sz w:val="20"/>
                <w:szCs w:val="20"/>
              </w:rPr>
              <w:t xml:space="preserve">Department</w:t>
            </w:r>
          </w:p>
        </w:tc>
        <w:tc>
          <w:tcPr>
            <w:tcW w:type="dxa" w:w="3000"/>
            <w:tcBorders>
              <w:top w:val="single" w:color="CCCCCC" w:sz="4"/>
              <w:left w:val="single" w:color="CCCCCC" w:sz="4"/>
              <w:bottom w:val="single" w:color="CCCCCC" w:sz="4"/>
              <w:right w:val="single" w:color="CCCCCC" w:sz="4"/>
            </w:tcBorders>
            <w:shd w:fill="8B2A2A" w:color="auto" w:val="clear"/>
            <w:tcMar>
              <w:top w:type="dxa" w:w="100"/>
              <w:left w:type="dxa" w:w="140"/>
              <w:bottom w:type="dxa" w:w="100"/>
              <w:right w:type="dxa" w:w="140"/>
            </w:tcMar>
          </w:tcPr>
          <w:p>
            <w:pPr>
              <w:jc w:val="right"/>
            </w:pPr>
            <w:r>
              <w:rPr>
                <w:b/>
                <w:bCs/>
                <w:color w:val="FFFFFF"/>
                <w:sz w:val="20"/>
                <w:szCs w:val="20"/>
              </w:rPr>
              <w:t xml:space="preserve">Full-Time Faculty</w:t>
            </w:r>
          </w:p>
        </w:tc>
      </w:tr>
      <w:tr>
        <w:tc>
          <w:tcPr>
            <w:tcW w:type="dxa" w:w="6360"/>
            <w:tcBorders>
              <w:top w:val="single" w:color="CCCCCC" w:sz="4"/>
              <w:left w:val="single" w:color="CCCCCC" w:sz="4"/>
              <w:bottom w:val="single" w:color="CCCCCC" w:sz="4"/>
              <w:right w:val="single" w:color="CCCCCC" w:sz="4"/>
            </w:tcBorders>
            <w:shd w:fill="FFFFFF" w:color="auto" w:val="clear"/>
            <w:tcMar>
              <w:top w:type="dxa" w:w="100"/>
              <w:left w:type="dxa" w:w="140"/>
              <w:bottom w:type="dxa" w:w="100"/>
              <w:right w:type="dxa" w:w="140"/>
            </w:tcMar>
          </w:tcPr>
          <w:p>
            <w:pPr>
              <w:jc w:val="left"/>
            </w:pPr>
            <w:r>
              <w:rPr>
                <w:b w:val="false"/>
                <w:bCs w:val="false"/>
                <w:color w:val="1A1A1A"/>
                <w:sz w:val="20"/>
                <w:szCs w:val="20"/>
              </w:rPr>
              <w:t xml:space="preserve">History</w:t>
            </w:r>
          </w:p>
        </w:tc>
        <w:tc>
          <w:tcPr>
            <w:tcW w:type="dxa" w:w="3000"/>
            <w:tcBorders>
              <w:top w:val="single" w:color="CCCCCC" w:sz="4"/>
              <w:left w:val="single" w:color="CCCCCC" w:sz="4"/>
              <w:bottom w:val="single" w:color="CCCCCC" w:sz="4"/>
              <w:right w:val="single" w:color="CCCCCC" w:sz="4"/>
            </w:tcBorders>
            <w:shd w:fill="FFFFFF" w:color="auto" w:val="clear"/>
            <w:tcMar>
              <w:top w:type="dxa" w:w="100"/>
              <w:left w:type="dxa" w:w="140"/>
              <w:bottom w:type="dxa" w:w="100"/>
              <w:right w:type="dxa" w:w="140"/>
            </w:tcMar>
          </w:tcPr>
          <w:p>
            <w:pPr>
              <w:jc w:val="right"/>
            </w:pPr>
            <w:r>
              <w:rPr>
                <w:b/>
                <w:bCs/>
                <w:color w:val="1A1A1A"/>
                <w:sz w:val="20"/>
                <w:szCs w:val="20"/>
              </w:rPr>
              <w:t xml:space="preserve">6</w:t>
            </w:r>
          </w:p>
        </w:tc>
      </w:tr>
      <w:tr>
        <w:tc>
          <w:tcPr>
            <w:tcW w:type="dxa" w:w="6360"/>
            <w:tcBorders>
              <w:top w:val="single" w:color="CCCCCC" w:sz="4"/>
              <w:left w:val="single" w:color="CCCCCC" w:sz="4"/>
              <w:bottom w:val="single" w:color="CCCCCC" w:sz="4"/>
              <w:right w:val="single" w:color="CCCCCC" w:sz="4"/>
            </w:tcBorders>
            <w:shd w:fill="F5EFE3" w:color="auto" w:val="clear"/>
            <w:tcMar>
              <w:top w:type="dxa" w:w="100"/>
              <w:left w:type="dxa" w:w="140"/>
              <w:bottom w:type="dxa" w:w="100"/>
              <w:right w:type="dxa" w:w="140"/>
            </w:tcMar>
          </w:tcPr>
          <w:p>
            <w:pPr>
              <w:jc w:val="left"/>
            </w:pPr>
            <w:r>
              <w:rPr>
                <w:b w:val="false"/>
                <w:bCs w:val="false"/>
                <w:color w:val="1A1A1A"/>
                <w:sz w:val="20"/>
                <w:szCs w:val="20"/>
              </w:rPr>
              <w:t xml:space="preserve">Political Science</w:t>
            </w:r>
          </w:p>
        </w:tc>
        <w:tc>
          <w:tcPr>
            <w:tcW w:type="dxa" w:w="3000"/>
            <w:tcBorders>
              <w:top w:val="single" w:color="CCCCCC" w:sz="4"/>
              <w:left w:val="single" w:color="CCCCCC" w:sz="4"/>
              <w:bottom w:val="single" w:color="CCCCCC" w:sz="4"/>
              <w:right w:val="single" w:color="CCCCCC" w:sz="4"/>
            </w:tcBorders>
            <w:shd w:fill="F5EFE3" w:color="auto" w:val="clear"/>
            <w:tcMar>
              <w:top w:type="dxa" w:w="100"/>
              <w:left w:type="dxa" w:w="140"/>
              <w:bottom w:type="dxa" w:w="100"/>
              <w:right w:type="dxa" w:w="140"/>
            </w:tcMar>
          </w:tcPr>
          <w:p>
            <w:pPr>
              <w:jc w:val="right"/>
            </w:pPr>
            <w:r>
              <w:rPr>
                <w:b/>
                <w:bCs/>
                <w:color w:val="1A1A1A"/>
                <w:sz w:val="20"/>
                <w:szCs w:val="20"/>
              </w:rPr>
              <w:t xml:space="preserve">8</w:t>
            </w:r>
          </w:p>
        </w:tc>
      </w:tr>
      <w:tr>
        <w:tc>
          <w:tcPr>
            <w:tcW w:type="dxa" w:w="6360"/>
            <w:tcBorders>
              <w:top w:val="single" w:color="CCCCCC" w:sz="4"/>
              <w:left w:val="single" w:color="CCCCCC" w:sz="4"/>
              <w:bottom w:val="single" w:color="CCCCCC" w:sz="4"/>
              <w:right w:val="single" w:color="CCCCCC" w:sz="4"/>
            </w:tcBorders>
            <w:shd w:fill="FFFFFF" w:color="auto" w:val="clear"/>
            <w:tcMar>
              <w:top w:type="dxa" w:w="100"/>
              <w:left w:type="dxa" w:w="140"/>
              <w:bottom w:type="dxa" w:w="100"/>
              <w:right w:type="dxa" w:w="140"/>
            </w:tcMar>
          </w:tcPr>
          <w:p>
            <w:pPr>
              <w:jc w:val="left"/>
            </w:pPr>
            <w:r>
              <w:rPr>
                <w:b w:val="false"/>
                <w:bCs w:val="false"/>
                <w:color w:val="1A1A1A"/>
                <w:sz w:val="20"/>
                <w:szCs w:val="20"/>
              </w:rPr>
              <w:t xml:space="preserve">Economics</w:t>
            </w:r>
          </w:p>
        </w:tc>
        <w:tc>
          <w:tcPr>
            <w:tcW w:type="dxa" w:w="3000"/>
            <w:tcBorders>
              <w:top w:val="single" w:color="CCCCCC" w:sz="4"/>
              <w:left w:val="single" w:color="CCCCCC" w:sz="4"/>
              <w:bottom w:val="single" w:color="CCCCCC" w:sz="4"/>
              <w:right w:val="single" w:color="CCCCCC" w:sz="4"/>
            </w:tcBorders>
            <w:shd w:fill="FFFFFF" w:color="auto" w:val="clear"/>
            <w:tcMar>
              <w:top w:type="dxa" w:w="100"/>
              <w:left w:type="dxa" w:w="140"/>
              <w:bottom w:type="dxa" w:w="100"/>
              <w:right w:type="dxa" w:w="140"/>
            </w:tcMar>
          </w:tcPr>
          <w:p>
            <w:pPr>
              <w:jc w:val="right"/>
            </w:pPr>
            <w:r>
              <w:rPr>
                <w:b/>
                <w:bCs/>
                <w:color w:val="1A1A1A"/>
                <w:sz w:val="20"/>
                <w:szCs w:val="20"/>
              </w:rPr>
              <w:t xml:space="preserve">5</w:t>
            </w:r>
          </w:p>
        </w:tc>
      </w:tr>
      <w:tr>
        <w:tc>
          <w:tcPr>
            <w:tcW w:type="dxa" w:w="6360"/>
            <w:tcBorders>
              <w:top w:val="single" w:color="CCCCCC" w:sz="4"/>
              <w:left w:val="single" w:color="CCCCCC" w:sz="4"/>
              <w:bottom w:val="single" w:color="CCCCCC" w:sz="4"/>
              <w:right w:val="single" w:color="CCCCCC" w:sz="4"/>
            </w:tcBorders>
            <w:shd w:fill="F5EFE3" w:color="auto" w:val="clear"/>
            <w:tcMar>
              <w:top w:type="dxa" w:w="100"/>
              <w:left w:type="dxa" w:w="140"/>
              <w:bottom w:type="dxa" w:w="100"/>
              <w:right w:type="dxa" w:w="140"/>
            </w:tcMar>
          </w:tcPr>
          <w:p>
            <w:pPr>
              <w:jc w:val="left"/>
            </w:pPr>
            <w:r>
              <w:rPr>
                <w:b w:val="false"/>
                <w:bCs w:val="false"/>
                <w:color w:val="1A1A1A"/>
                <w:sz w:val="20"/>
                <w:szCs w:val="20"/>
              </w:rPr>
              <w:t xml:space="preserve">Law</w:t>
            </w:r>
          </w:p>
        </w:tc>
        <w:tc>
          <w:tcPr>
            <w:tcW w:type="dxa" w:w="3000"/>
            <w:tcBorders>
              <w:top w:val="single" w:color="CCCCCC" w:sz="4"/>
              <w:left w:val="single" w:color="CCCCCC" w:sz="4"/>
              <w:bottom w:val="single" w:color="CCCCCC" w:sz="4"/>
              <w:right w:val="single" w:color="CCCCCC" w:sz="4"/>
            </w:tcBorders>
            <w:shd w:fill="F5EFE3" w:color="auto" w:val="clear"/>
            <w:tcMar>
              <w:top w:type="dxa" w:w="100"/>
              <w:left w:type="dxa" w:w="140"/>
              <w:bottom w:type="dxa" w:w="100"/>
              <w:right w:type="dxa" w:w="140"/>
            </w:tcMar>
          </w:tcPr>
          <w:p>
            <w:pPr>
              <w:jc w:val="right"/>
            </w:pPr>
            <w:r>
              <w:rPr>
                <w:b/>
                <w:bCs/>
                <w:color w:val="1A1A1A"/>
                <w:sz w:val="20"/>
                <w:szCs w:val="20"/>
              </w:rPr>
              <w:t xml:space="preserve">6</w:t>
            </w:r>
          </w:p>
        </w:tc>
      </w:tr>
      <w:tr>
        <w:tc>
          <w:tcPr>
            <w:tcW w:type="dxa" w:w="6360"/>
            <w:tcBorders>
              <w:top w:val="single" w:color="CCCCCC" w:sz="4"/>
              <w:left w:val="single" w:color="CCCCCC" w:sz="4"/>
              <w:bottom w:val="single" w:color="CCCCCC" w:sz="4"/>
              <w:right w:val="single" w:color="CCCCCC" w:sz="4"/>
            </w:tcBorders>
            <w:shd w:fill="FFFFFF" w:color="auto" w:val="clear"/>
            <w:tcMar>
              <w:top w:type="dxa" w:w="100"/>
              <w:left w:type="dxa" w:w="140"/>
              <w:bottom w:type="dxa" w:w="100"/>
              <w:right w:type="dxa" w:w="140"/>
            </w:tcMar>
          </w:tcPr>
          <w:p>
            <w:pPr>
              <w:jc w:val="left"/>
            </w:pPr>
            <w:r>
              <w:rPr>
                <w:b w:val="false"/>
                <w:bCs w:val="false"/>
                <w:color w:val="1A1A1A"/>
                <w:sz w:val="20"/>
                <w:szCs w:val="20"/>
              </w:rPr>
              <w:t xml:space="preserve">Journalism</w:t>
            </w:r>
          </w:p>
        </w:tc>
        <w:tc>
          <w:tcPr>
            <w:tcW w:type="dxa" w:w="3000"/>
            <w:tcBorders>
              <w:top w:val="single" w:color="CCCCCC" w:sz="4"/>
              <w:left w:val="single" w:color="CCCCCC" w:sz="4"/>
              <w:bottom w:val="single" w:color="CCCCCC" w:sz="4"/>
              <w:right w:val="single" w:color="CCCCCC" w:sz="4"/>
            </w:tcBorders>
            <w:shd w:fill="FFFFFF" w:color="auto" w:val="clear"/>
            <w:tcMar>
              <w:top w:type="dxa" w:w="100"/>
              <w:left w:type="dxa" w:w="140"/>
              <w:bottom w:type="dxa" w:w="100"/>
              <w:right w:type="dxa" w:w="140"/>
            </w:tcMar>
          </w:tcPr>
          <w:p>
            <w:pPr>
              <w:jc w:val="right"/>
            </w:pPr>
            <w:r>
              <w:rPr>
                <w:b/>
                <w:bCs/>
                <w:color w:val="1A1A1A"/>
                <w:sz w:val="20"/>
                <w:szCs w:val="20"/>
              </w:rPr>
              <w:t xml:space="preserve">4</w:t>
            </w:r>
          </w:p>
        </w:tc>
      </w:tr>
      <w:tr>
        <w:tc>
          <w:tcPr>
            <w:tcW w:type="dxa" w:w="6360"/>
            <w:tcBorders>
              <w:top w:val="single" w:color="CCCCCC" w:sz="4"/>
              <w:left w:val="single" w:color="CCCCCC" w:sz="4"/>
              <w:bottom w:val="single" w:color="CCCCCC" w:sz="4"/>
              <w:right w:val="single" w:color="CCCCCC" w:sz="4"/>
            </w:tcBorders>
            <w:shd w:fill="F5EFE3" w:color="auto" w:val="clear"/>
            <w:tcMar>
              <w:top w:type="dxa" w:w="100"/>
              <w:left w:type="dxa" w:w="140"/>
              <w:bottom w:type="dxa" w:w="100"/>
              <w:right w:type="dxa" w:w="140"/>
            </w:tcMar>
          </w:tcPr>
          <w:p>
            <w:pPr>
              <w:jc w:val="left"/>
            </w:pPr>
            <w:r>
              <w:rPr>
                <w:b w:val="false"/>
                <w:bCs w:val="false"/>
                <w:color w:val="1A1A1A"/>
                <w:sz w:val="20"/>
                <w:szCs w:val="20"/>
              </w:rPr>
              <w:t xml:space="preserve">Psychology</w:t>
            </w:r>
          </w:p>
        </w:tc>
        <w:tc>
          <w:tcPr>
            <w:tcW w:type="dxa" w:w="3000"/>
            <w:tcBorders>
              <w:top w:val="single" w:color="CCCCCC" w:sz="4"/>
              <w:left w:val="single" w:color="CCCCCC" w:sz="4"/>
              <w:bottom w:val="single" w:color="CCCCCC" w:sz="4"/>
              <w:right w:val="single" w:color="CCCCCC" w:sz="4"/>
            </w:tcBorders>
            <w:shd w:fill="F5EFE3" w:color="auto" w:val="clear"/>
            <w:tcMar>
              <w:top w:type="dxa" w:w="100"/>
              <w:left w:type="dxa" w:w="140"/>
              <w:bottom w:type="dxa" w:w="100"/>
              <w:right w:type="dxa" w:w="140"/>
            </w:tcMar>
          </w:tcPr>
          <w:p>
            <w:pPr>
              <w:jc w:val="right"/>
            </w:pPr>
            <w:r>
              <w:rPr>
                <w:b/>
                <w:bCs/>
                <w:color w:val="1A1A1A"/>
                <w:sz w:val="20"/>
                <w:szCs w:val="20"/>
              </w:rPr>
              <w:t xml:space="preserve">4</w:t>
            </w:r>
          </w:p>
        </w:tc>
      </w:tr>
      <w:tr>
        <w:tc>
          <w:tcPr>
            <w:tcW w:type="dxa" w:w="6360"/>
            <w:tcBorders>
              <w:top w:val="single" w:color="CCCCCC" w:sz="4"/>
              <w:left w:val="single" w:color="CCCCCC" w:sz="4"/>
              <w:bottom w:val="single" w:color="CCCCCC" w:sz="4"/>
              <w:right w:val="single" w:color="CCCCCC" w:sz="4"/>
            </w:tcBorders>
            <w:shd w:fill="FFFFFF" w:color="auto" w:val="clear"/>
            <w:tcMar>
              <w:top w:type="dxa" w:w="100"/>
              <w:left w:type="dxa" w:w="140"/>
              <w:bottom w:type="dxa" w:w="100"/>
              <w:right w:type="dxa" w:w="140"/>
            </w:tcMar>
          </w:tcPr>
          <w:p>
            <w:pPr>
              <w:jc w:val="left"/>
            </w:pPr>
            <w:r>
              <w:rPr>
                <w:b w:val="false"/>
                <w:bCs w:val="false"/>
                <w:color w:val="1A1A1A"/>
                <w:sz w:val="20"/>
                <w:szCs w:val="20"/>
              </w:rPr>
              <w:t xml:space="preserve">Communications</w:t>
            </w:r>
          </w:p>
        </w:tc>
        <w:tc>
          <w:tcPr>
            <w:tcW w:type="dxa" w:w="3000"/>
            <w:tcBorders>
              <w:top w:val="single" w:color="CCCCCC" w:sz="4"/>
              <w:left w:val="single" w:color="CCCCCC" w:sz="4"/>
              <w:bottom w:val="single" w:color="CCCCCC" w:sz="4"/>
              <w:right w:val="single" w:color="CCCCCC" w:sz="4"/>
            </w:tcBorders>
            <w:shd w:fill="FFFFFF" w:color="auto" w:val="clear"/>
            <w:tcMar>
              <w:top w:type="dxa" w:w="100"/>
              <w:left w:type="dxa" w:w="140"/>
              <w:bottom w:type="dxa" w:w="100"/>
              <w:right w:type="dxa" w:w="140"/>
            </w:tcMar>
          </w:tcPr>
          <w:p>
            <w:pPr>
              <w:jc w:val="right"/>
            </w:pPr>
            <w:r>
              <w:rPr>
                <w:b/>
                <w:bCs/>
                <w:color w:val="1A1A1A"/>
                <w:sz w:val="20"/>
                <w:szCs w:val="20"/>
              </w:rPr>
              <w:t xml:space="preserve">5</w:t>
            </w:r>
          </w:p>
        </w:tc>
      </w:tr>
      <w:tr>
        <w:tc>
          <w:tcPr>
            <w:tcW w:type="dxa" w:w="6360"/>
            <w:tcBorders>
              <w:top w:val="single" w:color="CCCCCC" w:sz="4"/>
              <w:left w:val="single" w:color="CCCCCC" w:sz="4"/>
              <w:bottom w:val="single" w:color="CCCCCC" w:sz="4"/>
              <w:right w:val="single" w:color="CCCCCC" w:sz="4"/>
            </w:tcBorders>
            <w:shd w:fill="F5EFE3" w:color="auto" w:val="clear"/>
            <w:tcMar>
              <w:top w:type="dxa" w:w="100"/>
              <w:left w:type="dxa" w:w="140"/>
              <w:bottom w:type="dxa" w:w="100"/>
              <w:right w:type="dxa" w:w="140"/>
            </w:tcMar>
          </w:tcPr>
          <w:p>
            <w:pPr>
              <w:jc w:val="left"/>
            </w:pPr>
            <w:r>
              <w:rPr>
                <w:b w:val="false"/>
                <w:bCs w:val="false"/>
                <w:color w:val="1A1A1A"/>
                <w:sz w:val="20"/>
                <w:szCs w:val="20"/>
              </w:rPr>
              <w:t xml:space="preserve">Philosophy</w:t>
            </w:r>
          </w:p>
        </w:tc>
        <w:tc>
          <w:tcPr>
            <w:tcW w:type="dxa" w:w="3000"/>
            <w:tcBorders>
              <w:top w:val="single" w:color="CCCCCC" w:sz="4"/>
              <w:left w:val="single" w:color="CCCCCC" w:sz="4"/>
              <w:bottom w:val="single" w:color="CCCCCC" w:sz="4"/>
              <w:right w:val="single" w:color="CCCCCC" w:sz="4"/>
            </w:tcBorders>
            <w:shd w:fill="F5EFE3" w:color="auto" w:val="clear"/>
            <w:tcMar>
              <w:top w:type="dxa" w:w="100"/>
              <w:left w:type="dxa" w:w="140"/>
              <w:bottom w:type="dxa" w:w="100"/>
              <w:right w:type="dxa" w:w="140"/>
            </w:tcMar>
          </w:tcPr>
          <w:p>
            <w:pPr>
              <w:jc w:val="right"/>
            </w:pPr>
            <w:r>
              <w:rPr>
                <w:b/>
                <w:bCs/>
                <w:color w:val="1A1A1A"/>
                <w:sz w:val="20"/>
                <w:szCs w:val="20"/>
              </w:rPr>
              <w:t xml:space="preserve">3</w:t>
            </w:r>
          </w:p>
        </w:tc>
      </w:tr>
      <w:tr>
        <w:tc>
          <w:tcPr>
            <w:tcW w:type="dxa" w:w="6360"/>
            <w:tcBorders>
              <w:top w:val="single" w:color="CCCCCC" w:sz="4"/>
              <w:left w:val="single" w:color="CCCCCC" w:sz="4"/>
              <w:bottom w:val="single" w:color="CCCCCC" w:sz="4"/>
              <w:right w:val="single" w:color="CCCCCC" w:sz="4"/>
            </w:tcBorders>
            <w:shd w:fill="FFFFFF" w:color="auto" w:val="clear"/>
            <w:tcMar>
              <w:top w:type="dxa" w:w="100"/>
              <w:left w:type="dxa" w:w="140"/>
              <w:bottom w:type="dxa" w:w="100"/>
              <w:right w:type="dxa" w:w="140"/>
            </w:tcMar>
          </w:tcPr>
          <w:p>
            <w:pPr>
              <w:jc w:val="left"/>
            </w:pPr>
            <w:r>
              <w:rPr>
                <w:b w:val="false"/>
                <w:bCs w:val="false"/>
                <w:color w:val="1A1A1A"/>
                <w:sz w:val="20"/>
                <w:szCs w:val="20"/>
              </w:rPr>
              <w:t xml:space="preserve">Statistics / Data Science</w:t>
            </w:r>
          </w:p>
        </w:tc>
        <w:tc>
          <w:tcPr>
            <w:tcW w:type="dxa" w:w="3000"/>
            <w:tcBorders>
              <w:top w:val="single" w:color="CCCCCC" w:sz="4"/>
              <w:left w:val="single" w:color="CCCCCC" w:sz="4"/>
              <w:bottom w:val="single" w:color="CCCCCC" w:sz="4"/>
              <w:right w:val="single" w:color="CCCCCC" w:sz="4"/>
            </w:tcBorders>
            <w:shd w:fill="FFFFFF" w:color="auto" w:val="clear"/>
            <w:tcMar>
              <w:top w:type="dxa" w:w="100"/>
              <w:left w:type="dxa" w:w="140"/>
              <w:bottom w:type="dxa" w:w="100"/>
              <w:right w:type="dxa" w:w="140"/>
            </w:tcMar>
          </w:tcPr>
          <w:p>
            <w:pPr>
              <w:jc w:val="right"/>
            </w:pPr>
            <w:r>
              <w:rPr>
                <w:b/>
                <w:bCs/>
                <w:color w:val="1A1A1A"/>
                <w:sz w:val="20"/>
                <w:szCs w:val="20"/>
              </w:rPr>
              <w:t xml:space="preserve">4</w:t>
            </w:r>
          </w:p>
        </w:tc>
      </w:tr>
      <w:tr>
        <w:tc>
          <w:tcPr>
            <w:tcW w:type="dxa" w:w="6360"/>
            <w:tcBorders>
              <w:top w:val="single" w:color="CCCCCC" w:sz="4"/>
              <w:left w:val="single" w:color="CCCCCC" w:sz="4"/>
              <w:bottom w:val="single" w:color="CCCCCC" w:sz="4"/>
              <w:right w:val="single" w:color="CCCCCC" w:sz="4"/>
            </w:tcBorders>
            <w:shd w:fill="F5EFE3" w:color="auto" w:val="clear"/>
            <w:tcMar>
              <w:top w:type="dxa" w:w="100"/>
              <w:left w:type="dxa" w:w="140"/>
              <w:bottom w:type="dxa" w:w="100"/>
              <w:right w:type="dxa" w:w="140"/>
            </w:tcMar>
          </w:tcPr>
          <w:p>
            <w:pPr>
              <w:jc w:val="left"/>
            </w:pPr>
            <w:r>
              <w:rPr>
                <w:b w:val="false"/>
                <w:bCs w:val="false"/>
                <w:color w:val="1A1A1A"/>
                <w:sz w:val="20"/>
                <w:szCs w:val="20"/>
              </w:rPr>
              <w:t xml:space="preserve">Public Health &amp; Science Policy</w:t>
            </w:r>
          </w:p>
        </w:tc>
        <w:tc>
          <w:tcPr>
            <w:tcW w:type="dxa" w:w="3000"/>
            <w:tcBorders>
              <w:top w:val="single" w:color="CCCCCC" w:sz="4"/>
              <w:left w:val="single" w:color="CCCCCC" w:sz="4"/>
              <w:bottom w:val="single" w:color="CCCCCC" w:sz="4"/>
              <w:right w:val="single" w:color="CCCCCC" w:sz="4"/>
            </w:tcBorders>
            <w:shd w:fill="F5EFE3" w:color="auto" w:val="clear"/>
            <w:tcMar>
              <w:top w:type="dxa" w:w="100"/>
              <w:left w:type="dxa" w:w="140"/>
              <w:bottom w:type="dxa" w:w="100"/>
              <w:right w:type="dxa" w:w="140"/>
            </w:tcMar>
          </w:tcPr>
          <w:p>
            <w:pPr>
              <w:jc w:val="right"/>
            </w:pPr>
            <w:r>
              <w:rPr>
                <w:b/>
                <w:bCs/>
                <w:color w:val="1A1A1A"/>
                <w:sz w:val="20"/>
                <w:szCs w:val="20"/>
              </w:rPr>
              <w:t xml:space="preserve">4</w:t>
            </w:r>
          </w:p>
        </w:tc>
      </w:tr>
      <w:tr>
        <w:tc>
          <w:tcPr>
            <w:tcW w:type="dxa" w:w="6360"/>
            <w:tcBorders>
              <w:top w:val="single" w:color="CCCCCC" w:sz="4"/>
              <w:left w:val="single" w:color="CCCCCC" w:sz="4"/>
              <w:bottom w:val="single" w:color="CCCCCC" w:sz="4"/>
              <w:right w:val="single" w:color="CCCCCC" w:sz="4"/>
            </w:tcBorders>
            <w:shd w:fill="FFFFFF" w:color="auto" w:val="clear"/>
            <w:tcMar>
              <w:top w:type="dxa" w:w="100"/>
              <w:left w:type="dxa" w:w="140"/>
              <w:bottom w:type="dxa" w:w="100"/>
              <w:right w:type="dxa" w:w="140"/>
            </w:tcMar>
          </w:tcPr>
          <w:p>
            <w:pPr>
              <w:jc w:val="left"/>
            </w:pPr>
            <w:r>
              <w:rPr>
                <w:b w:val="false"/>
                <w:bCs w:val="false"/>
                <w:color w:val="1A1A1A"/>
                <w:sz w:val="20"/>
                <w:szCs w:val="20"/>
              </w:rPr>
              <w:t xml:space="preserve">Computer Science / Civic Technology</w:t>
            </w:r>
          </w:p>
        </w:tc>
        <w:tc>
          <w:tcPr>
            <w:tcW w:type="dxa" w:w="3000"/>
            <w:tcBorders>
              <w:top w:val="single" w:color="CCCCCC" w:sz="4"/>
              <w:left w:val="single" w:color="CCCCCC" w:sz="4"/>
              <w:bottom w:val="single" w:color="CCCCCC" w:sz="4"/>
              <w:right w:val="single" w:color="CCCCCC" w:sz="4"/>
            </w:tcBorders>
            <w:shd w:fill="FFFFFF" w:color="auto" w:val="clear"/>
            <w:tcMar>
              <w:top w:type="dxa" w:w="100"/>
              <w:left w:type="dxa" w:w="140"/>
              <w:bottom w:type="dxa" w:w="100"/>
              <w:right w:type="dxa" w:w="140"/>
            </w:tcMar>
          </w:tcPr>
          <w:p>
            <w:pPr>
              <w:jc w:val="right"/>
            </w:pPr>
            <w:r>
              <w:rPr>
                <w:b/>
                <w:bCs/>
                <w:color w:val="1A1A1A"/>
                <w:sz w:val="20"/>
                <w:szCs w:val="20"/>
              </w:rPr>
              <w:t xml:space="preserve">5</w:t>
            </w:r>
          </w:p>
        </w:tc>
      </w:tr>
      <w:tr>
        <w:tc>
          <w:tcPr>
            <w:tcW w:type="dxa" w:w="6360"/>
            <w:tcBorders>
              <w:top w:val="single" w:color="CCCCCC" w:sz="4"/>
              <w:left w:val="single" w:color="CCCCCC" w:sz="4"/>
              <w:bottom w:val="single" w:color="CCCCCC" w:sz="4"/>
              <w:right w:val="single" w:color="CCCCCC" w:sz="4"/>
            </w:tcBorders>
            <w:shd w:fill="F5EFE3" w:color="auto" w:val="clear"/>
            <w:tcMar>
              <w:top w:type="dxa" w:w="100"/>
              <w:left w:type="dxa" w:w="140"/>
              <w:bottom w:type="dxa" w:w="100"/>
              <w:right w:type="dxa" w:w="140"/>
            </w:tcMar>
          </w:tcPr>
          <w:p>
            <w:pPr>
              <w:jc w:val="left"/>
            </w:pPr>
            <w:r>
              <w:rPr>
                <w:b w:val="false"/>
                <w:bCs w:val="false"/>
                <w:color w:val="1A1A1A"/>
                <w:sz w:val="20"/>
                <w:szCs w:val="20"/>
              </w:rPr>
              <w:t xml:space="preserve">Arts &amp; Media</w:t>
            </w:r>
          </w:p>
        </w:tc>
        <w:tc>
          <w:tcPr>
            <w:tcW w:type="dxa" w:w="3000"/>
            <w:tcBorders>
              <w:top w:val="single" w:color="CCCCCC" w:sz="4"/>
              <w:left w:val="single" w:color="CCCCCC" w:sz="4"/>
              <w:bottom w:val="single" w:color="CCCCCC" w:sz="4"/>
              <w:right w:val="single" w:color="CCCCCC" w:sz="4"/>
            </w:tcBorders>
            <w:shd w:fill="F5EFE3" w:color="auto" w:val="clear"/>
            <w:tcMar>
              <w:top w:type="dxa" w:w="100"/>
              <w:left w:type="dxa" w:w="140"/>
              <w:bottom w:type="dxa" w:w="100"/>
              <w:right w:type="dxa" w:w="140"/>
            </w:tcMar>
          </w:tcPr>
          <w:p>
            <w:pPr>
              <w:jc w:val="right"/>
            </w:pPr>
            <w:r>
              <w:rPr>
                <w:b/>
                <w:bCs/>
                <w:color w:val="1A1A1A"/>
                <w:sz w:val="20"/>
                <w:szCs w:val="20"/>
              </w:rPr>
              <w:t xml:space="preserve">4</w:t>
            </w:r>
          </w:p>
        </w:tc>
      </w:tr>
      <w:tr>
        <w:tc>
          <w:tcPr>
            <w:tcW w:type="dxa" w:w="6360"/>
            <w:tcBorders>
              <w:top w:val="single" w:color="CCCCCC" w:sz="4"/>
              <w:left w:val="single" w:color="CCCCCC" w:sz="4"/>
              <w:bottom w:val="single" w:color="CCCCCC" w:sz="4"/>
              <w:right w:val="single" w:color="CCCCCC" w:sz="4"/>
            </w:tcBorders>
            <w:shd w:fill="1A1A1A" w:color="auto" w:val="clear"/>
            <w:tcMar>
              <w:top w:type="dxa" w:w="100"/>
              <w:left w:type="dxa" w:w="140"/>
              <w:bottom w:type="dxa" w:w="100"/>
              <w:right w:type="dxa" w:w="140"/>
            </w:tcMar>
          </w:tcPr>
          <w:p>
            <w:pPr>
              <w:jc w:val="left"/>
            </w:pPr>
            <w:r>
              <w:rPr>
                <w:b/>
                <w:bCs/>
                <w:color w:val="FFFFFF"/>
                <w:sz w:val="20"/>
                <w:szCs w:val="20"/>
              </w:rPr>
              <w:t xml:space="preserve">Total  (approximate range 55 – 60)</w:t>
            </w:r>
          </w:p>
        </w:tc>
        <w:tc>
          <w:tcPr>
            <w:tcW w:type="dxa" w:w="3000"/>
            <w:tcBorders>
              <w:top w:val="single" w:color="CCCCCC" w:sz="4"/>
              <w:left w:val="single" w:color="CCCCCC" w:sz="4"/>
              <w:bottom w:val="single" w:color="CCCCCC" w:sz="4"/>
              <w:right w:val="single" w:color="CCCCCC" w:sz="4"/>
            </w:tcBorders>
            <w:shd w:fill="1A1A1A" w:color="auto" w:val="clear"/>
            <w:tcMar>
              <w:top w:type="dxa" w:w="100"/>
              <w:left w:type="dxa" w:w="140"/>
              <w:bottom w:type="dxa" w:w="100"/>
              <w:right w:type="dxa" w:w="140"/>
            </w:tcMar>
          </w:tcPr>
          <w:p>
            <w:pPr>
              <w:jc w:val="right"/>
            </w:pPr>
            <w:r>
              <w:rPr>
                <w:b/>
                <w:bCs/>
                <w:color w:val="FFFFFF"/>
                <w:sz w:val="20"/>
                <w:szCs w:val="20"/>
              </w:rPr>
              <w:t xml:space="preserve">58</w:t>
            </w:r>
          </w:p>
        </w:tc>
      </w:tr>
    </w:tbl>
    <w:p>
      <w:pPr>
        <w:spacing w:before="200"/>
      </w:pPr>
      <w:r>
        <w:rPr>
          <w:i/>
          <w:iCs/>
          <w:color w:val="555555"/>
          <w:sz w:val="22"/>
          <w:szCs w:val="22"/>
        </w:rPr>
        <w:t xml:space="preserve">Student-to-faculty ratio: approximately 17 : 1 — competitive with peer liberal arts colleges.</w:t>
      </w:r>
    </w:p>
    <w:p>
      <w:r>
        <w:br w:type="page"/>
      </w:r>
    </w:p>
    <w:p>
      <w:pPr>
        <w:spacing w:after="60" w:before="80"/>
      </w:pPr>
      <w:r>
        <w:rPr>
          <w:rFonts w:ascii="Arial" w:cs="Arial" w:eastAsia="Arial" w:hAnsi="Arial"/>
          <w:b/>
          <w:bCs/>
          <w:color w:val="8B2A2A"/>
          <w:spacing w:val="40"/>
          <w:sz w:val="16"/>
          <w:szCs w:val="16"/>
        </w:rPr>
        <w:t xml:space="preserve">§ IV  ·  STAFF</w:t>
      </w:r>
    </w:p>
    <w:p>
      <w:pPr>
        <w:pStyle w:val="Heading1"/>
        <w:pBdr>
          <w:bottom w:val="single" w:color="8B2A2A" w:sz="8" w:space="6"/>
        </w:pBdr>
        <w:spacing w:after="180" w:before="360"/>
      </w:pPr>
      <w:r>
        <w:rPr>
          <w:rFonts w:ascii="Georgia" w:cs="Georgia" w:eastAsia="Georgia" w:hAnsi="Georgia"/>
          <w:b/>
          <w:bCs/>
          <w:color w:val="8B2A2A"/>
          <w:sz w:val="32"/>
          <w:szCs w:val="32"/>
        </w:rPr>
        <w:t xml:space="preserve">Lean administration in service of the mission.</w:t>
      </w:r>
    </w:p>
    <w:p>
      <w:pPr>
        <w:spacing w:after="120" w:line="300"/>
      </w:pPr>
      <w:r>
        <w:t xml:space="preserve">Mature-state staffing plan for a 1,000-student college: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360"/>
        <w:gridCol w:w="3000"/>
      </w:tblGrid>
      <w:tr>
        <w:trPr>
          <w:tblHeader/>
        </w:trPr>
        <w:tc>
          <w:tcPr>
            <w:tcW w:type="dxa" w:w="6360"/>
            <w:tcBorders>
              <w:top w:val="single" w:color="CCCCCC" w:sz="4"/>
              <w:left w:val="single" w:color="CCCCCC" w:sz="4"/>
              <w:bottom w:val="single" w:color="CCCCCC" w:sz="4"/>
              <w:right w:val="single" w:color="CCCCCC" w:sz="4"/>
            </w:tcBorders>
            <w:shd w:fill="8B2A2A" w:color="auto" w:val="clear"/>
            <w:tcMar>
              <w:top w:type="dxa" w:w="100"/>
              <w:left w:type="dxa" w:w="140"/>
              <w:bottom w:type="dxa" w:w="100"/>
              <w:right w:type="dxa" w:w="140"/>
            </w:tcMar>
          </w:tcPr>
          <w:p>
            <w:pPr>
              <w:jc w:val="left"/>
            </w:pPr>
            <w:r>
              <w:rPr>
                <w:b/>
                <w:bCs/>
                <w:color w:val="FFFFFF"/>
                <w:sz w:val="20"/>
                <w:szCs w:val="20"/>
              </w:rPr>
              <w:t xml:space="preserve">Function</w:t>
            </w:r>
          </w:p>
        </w:tc>
        <w:tc>
          <w:tcPr>
            <w:tcW w:type="dxa" w:w="3000"/>
            <w:tcBorders>
              <w:top w:val="single" w:color="CCCCCC" w:sz="4"/>
              <w:left w:val="single" w:color="CCCCCC" w:sz="4"/>
              <w:bottom w:val="single" w:color="CCCCCC" w:sz="4"/>
              <w:right w:val="single" w:color="CCCCCC" w:sz="4"/>
            </w:tcBorders>
            <w:shd w:fill="8B2A2A" w:color="auto" w:val="clear"/>
            <w:tcMar>
              <w:top w:type="dxa" w:w="100"/>
              <w:left w:type="dxa" w:w="140"/>
              <w:bottom w:type="dxa" w:w="100"/>
              <w:right w:type="dxa" w:w="140"/>
            </w:tcMar>
          </w:tcPr>
          <w:p>
            <w:pPr>
              <w:jc w:val="right"/>
            </w:pPr>
            <w:r>
              <w:rPr>
                <w:b/>
                <w:bCs/>
                <w:color w:val="FFFFFF"/>
                <w:sz w:val="20"/>
                <w:szCs w:val="20"/>
              </w:rPr>
              <w:t xml:space="preserve">Headcount</w:t>
            </w:r>
          </w:p>
        </w:tc>
      </w:tr>
      <w:tr>
        <w:tc>
          <w:tcPr>
            <w:tcW w:type="dxa" w:w="6360"/>
            <w:tcBorders>
              <w:top w:val="single" w:color="CCCCCC" w:sz="4"/>
              <w:left w:val="single" w:color="CCCCCC" w:sz="4"/>
              <w:bottom w:val="single" w:color="CCCCCC" w:sz="4"/>
              <w:right w:val="single" w:color="CCCCCC" w:sz="4"/>
            </w:tcBorders>
            <w:shd w:fill="FFFFFF" w:color="auto" w:val="clear"/>
            <w:tcMar>
              <w:top w:type="dxa" w:w="100"/>
              <w:left w:type="dxa" w:w="140"/>
              <w:bottom w:type="dxa" w:w="100"/>
              <w:right w:type="dxa" w:w="140"/>
            </w:tcMar>
          </w:tcPr>
          <w:p>
            <w:pPr>
              <w:jc w:val="left"/>
            </w:pPr>
            <w:r>
              <w:rPr>
                <w:b w:val="false"/>
                <w:bCs w:val="false"/>
                <w:color w:val="1A1A1A"/>
                <w:sz w:val="20"/>
                <w:szCs w:val="20"/>
              </w:rPr>
              <w:t xml:space="preserve">Admissions</w:t>
            </w:r>
          </w:p>
        </w:tc>
        <w:tc>
          <w:tcPr>
            <w:tcW w:type="dxa" w:w="3000"/>
            <w:tcBorders>
              <w:top w:val="single" w:color="CCCCCC" w:sz="4"/>
              <w:left w:val="single" w:color="CCCCCC" w:sz="4"/>
              <w:bottom w:val="single" w:color="CCCCCC" w:sz="4"/>
              <w:right w:val="single" w:color="CCCCCC" w:sz="4"/>
            </w:tcBorders>
            <w:shd w:fill="FFFFFF" w:color="auto" w:val="clear"/>
            <w:tcMar>
              <w:top w:type="dxa" w:w="100"/>
              <w:left w:type="dxa" w:w="140"/>
              <w:bottom w:type="dxa" w:w="100"/>
              <w:right w:type="dxa" w:w="140"/>
            </w:tcMar>
          </w:tcPr>
          <w:p>
            <w:pPr>
              <w:jc w:val="right"/>
            </w:pPr>
            <w:r>
              <w:rPr>
                <w:b/>
                <w:bCs/>
                <w:color w:val="1A1A1A"/>
                <w:sz w:val="20"/>
                <w:szCs w:val="20"/>
              </w:rPr>
              <w:t xml:space="preserve">10</w:t>
            </w:r>
          </w:p>
        </w:tc>
      </w:tr>
      <w:tr>
        <w:tc>
          <w:tcPr>
            <w:tcW w:type="dxa" w:w="6360"/>
            <w:tcBorders>
              <w:top w:val="single" w:color="CCCCCC" w:sz="4"/>
              <w:left w:val="single" w:color="CCCCCC" w:sz="4"/>
              <w:bottom w:val="single" w:color="CCCCCC" w:sz="4"/>
              <w:right w:val="single" w:color="CCCCCC" w:sz="4"/>
            </w:tcBorders>
            <w:shd w:fill="F5EFE3" w:color="auto" w:val="clear"/>
            <w:tcMar>
              <w:top w:type="dxa" w:w="100"/>
              <w:left w:type="dxa" w:w="140"/>
              <w:bottom w:type="dxa" w:w="100"/>
              <w:right w:type="dxa" w:w="140"/>
            </w:tcMar>
          </w:tcPr>
          <w:p>
            <w:pPr>
              <w:jc w:val="left"/>
            </w:pPr>
            <w:r>
              <w:rPr>
                <w:b w:val="false"/>
                <w:bCs w:val="false"/>
                <w:color w:val="1A1A1A"/>
                <w:sz w:val="20"/>
                <w:szCs w:val="20"/>
              </w:rPr>
              <w:t xml:space="preserve">Registrar</w:t>
            </w:r>
          </w:p>
        </w:tc>
        <w:tc>
          <w:tcPr>
            <w:tcW w:type="dxa" w:w="3000"/>
            <w:tcBorders>
              <w:top w:val="single" w:color="CCCCCC" w:sz="4"/>
              <w:left w:val="single" w:color="CCCCCC" w:sz="4"/>
              <w:bottom w:val="single" w:color="CCCCCC" w:sz="4"/>
              <w:right w:val="single" w:color="CCCCCC" w:sz="4"/>
            </w:tcBorders>
            <w:shd w:fill="F5EFE3" w:color="auto" w:val="clear"/>
            <w:tcMar>
              <w:top w:type="dxa" w:w="100"/>
              <w:left w:type="dxa" w:w="140"/>
              <w:bottom w:type="dxa" w:w="100"/>
              <w:right w:type="dxa" w:w="140"/>
            </w:tcMar>
          </w:tcPr>
          <w:p>
            <w:pPr>
              <w:jc w:val="right"/>
            </w:pPr>
            <w:r>
              <w:rPr>
                <w:b/>
                <w:bCs/>
                <w:color w:val="1A1A1A"/>
                <w:sz w:val="20"/>
                <w:szCs w:val="20"/>
              </w:rPr>
              <w:t xml:space="preserve">5</w:t>
            </w:r>
          </w:p>
        </w:tc>
      </w:tr>
      <w:tr>
        <w:tc>
          <w:tcPr>
            <w:tcW w:type="dxa" w:w="6360"/>
            <w:tcBorders>
              <w:top w:val="single" w:color="CCCCCC" w:sz="4"/>
              <w:left w:val="single" w:color="CCCCCC" w:sz="4"/>
              <w:bottom w:val="single" w:color="CCCCCC" w:sz="4"/>
              <w:right w:val="single" w:color="CCCCCC" w:sz="4"/>
            </w:tcBorders>
            <w:shd w:fill="FFFFFF" w:color="auto" w:val="clear"/>
            <w:tcMar>
              <w:top w:type="dxa" w:w="100"/>
              <w:left w:type="dxa" w:w="140"/>
              <w:bottom w:type="dxa" w:w="100"/>
              <w:right w:type="dxa" w:w="140"/>
            </w:tcMar>
          </w:tcPr>
          <w:p>
            <w:pPr>
              <w:jc w:val="left"/>
            </w:pPr>
            <w:r>
              <w:rPr>
                <w:b w:val="false"/>
                <w:bCs w:val="false"/>
                <w:color w:val="1A1A1A"/>
                <w:sz w:val="20"/>
                <w:szCs w:val="20"/>
              </w:rPr>
              <w:t xml:space="preserve">Financial Aid</w:t>
            </w:r>
          </w:p>
        </w:tc>
        <w:tc>
          <w:tcPr>
            <w:tcW w:type="dxa" w:w="3000"/>
            <w:tcBorders>
              <w:top w:val="single" w:color="CCCCCC" w:sz="4"/>
              <w:left w:val="single" w:color="CCCCCC" w:sz="4"/>
              <w:bottom w:val="single" w:color="CCCCCC" w:sz="4"/>
              <w:right w:val="single" w:color="CCCCCC" w:sz="4"/>
            </w:tcBorders>
            <w:shd w:fill="FFFFFF" w:color="auto" w:val="clear"/>
            <w:tcMar>
              <w:top w:type="dxa" w:w="100"/>
              <w:left w:type="dxa" w:w="140"/>
              <w:bottom w:type="dxa" w:w="100"/>
              <w:right w:type="dxa" w:w="140"/>
            </w:tcMar>
          </w:tcPr>
          <w:p>
            <w:pPr>
              <w:jc w:val="right"/>
            </w:pPr>
            <w:r>
              <w:rPr>
                <w:b/>
                <w:bCs/>
                <w:color w:val="1A1A1A"/>
                <w:sz w:val="20"/>
                <w:szCs w:val="20"/>
              </w:rPr>
              <w:t xml:space="preserve">5</w:t>
            </w:r>
          </w:p>
        </w:tc>
      </w:tr>
      <w:tr>
        <w:tc>
          <w:tcPr>
            <w:tcW w:type="dxa" w:w="6360"/>
            <w:tcBorders>
              <w:top w:val="single" w:color="CCCCCC" w:sz="4"/>
              <w:left w:val="single" w:color="CCCCCC" w:sz="4"/>
              <w:bottom w:val="single" w:color="CCCCCC" w:sz="4"/>
              <w:right w:val="single" w:color="CCCCCC" w:sz="4"/>
            </w:tcBorders>
            <w:shd w:fill="F5EFE3" w:color="auto" w:val="clear"/>
            <w:tcMar>
              <w:top w:type="dxa" w:w="100"/>
              <w:left w:type="dxa" w:w="140"/>
              <w:bottom w:type="dxa" w:w="100"/>
              <w:right w:type="dxa" w:w="140"/>
            </w:tcMar>
          </w:tcPr>
          <w:p>
            <w:pPr>
              <w:jc w:val="left"/>
            </w:pPr>
            <w:r>
              <w:rPr>
                <w:b w:val="false"/>
                <w:bCs w:val="false"/>
                <w:color w:val="1A1A1A"/>
                <w:sz w:val="20"/>
                <w:szCs w:val="20"/>
              </w:rPr>
              <w:t xml:space="preserve">Student Affairs</w:t>
            </w:r>
          </w:p>
        </w:tc>
        <w:tc>
          <w:tcPr>
            <w:tcW w:type="dxa" w:w="3000"/>
            <w:tcBorders>
              <w:top w:val="single" w:color="CCCCCC" w:sz="4"/>
              <w:left w:val="single" w:color="CCCCCC" w:sz="4"/>
              <w:bottom w:val="single" w:color="CCCCCC" w:sz="4"/>
              <w:right w:val="single" w:color="CCCCCC" w:sz="4"/>
            </w:tcBorders>
            <w:shd w:fill="F5EFE3" w:color="auto" w:val="clear"/>
            <w:tcMar>
              <w:top w:type="dxa" w:w="100"/>
              <w:left w:type="dxa" w:w="140"/>
              <w:bottom w:type="dxa" w:w="100"/>
              <w:right w:type="dxa" w:w="140"/>
            </w:tcMar>
          </w:tcPr>
          <w:p>
            <w:pPr>
              <w:jc w:val="right"/>
            </w:pPr>
            <w:r>
              <w:rPr>
                <w:b/>
                <w:bCs/>
                <w:color w:val="1A1A1A"/>
                <w:sz w:val="20"/>
                <w:szCs w:val="20"/>
              </w:rPr>
              <w:t xml:space="preserve">10</w:t>
            </w:r>
          </w:p>
        </w:tc>
      </w:tr>
      <w:tr>
        <w:tc>
          <w:tcPr>
            <w:tcW w:type="dxa" w:w="6360"/>
            <w:tcBorders>
              <w:top w:val="single" w:color="CCCCCC" w:sz="4"/>
              <w:left w:val="single" w:color="CCCCCC" w:sz="4"/>
              <w:bottom w:val="single" w:color="CCCCCC" w:sz="4"/>
              <w:right w:val="single" w:color="CCCCCC" w:sz="4"/>
            </w:tcBorders>
            <w:shd w:fill="FFFFFF" w:color="auto" w:val="clear"/>
            <w:tcMar>
              <w:top w:type="dxa" w:w="100"/>
              <w:left w:type="dxa" w:w="140"/>
              <w:bottom w:type="dxa" w:w="100"/>
              <w:right w:type="dxa" w:w="140"/>
            </w:tcMar>
          </w:tcPr>
          <w:p>
            <w:pPr>
              <w:jc w:val="left"/>
            </w:pPr>
            <w:r>
              <w:rPr>
                <w:b w:val="false"/>
                <w:bCs w:val="false"/>
                <w:color w:val="1A1A1A"/>
                <w:sz w:val="20"/>
                <w:szCs w:val="20"/>
              </w:rPr>
              <w:t xml:space="preserve">Career Services</w:t>
            </w:r>
          </w:p>
        </w:tc>
        <w:tc>
          <w:tcPr>
            <w:tcW w:type="dxa" w:w="3000"/>
            <w:tcBorders>
              <w:top w:val="single" w:color="CCCCCC" w:sz="4"/>
              <w:left w:val="single" w:color="CCCCCC" w:sz="4"/>
              <w:bottom w:val="single" w:color="CCCCCC" w:sz="4"/>
              <w:right w:val="single" w:color="CCCCCC" w:sz="4"/>
            </w:tcBorders>
            <w:shd w:fill="FFFFFF" w:color="auto" w:val="clear"/>
            <w:tcMar>
              <w:top w:type="dxa" w:w="100"/>
              <w:left w:type="dxa" w:w="140"/>
              <w:bottom w:type="dxa" w:w="100"/>
              <w:right w:type="dxa" w:w="140"/>
            </w:tcMar>
          </w:tcPr>
          <w:p>
            <w:pPr>
              <w:jc w:val="right"/>
            </w:pPr>
            <w:r>
              <w:rPr>
                <w:b/>
                <w:bCs/>
                <w:color w:val="1A1A1A"/>
                <w:sz w:val="20"/>
                <w:szCs w:val="20"/>
              </w:rPr>
              <w:t xml:space="preserve">5</w:t>
            </w:r>
          </w:p>
        </w:tc>
      </w:tr>
      <w:tr>
        <w:tc>
          <w:tcPr>
            <w:tcW w:type="dxa" w:w="6360"/>
            <w:tcBorders>
              <w:top w:val="single" w:color="CCCCCC" w:sz="4"/>
              <w:left w:val="single" w:color="CCCCCC" w:sz="4"/>
              <w:bottom w:val="single" w:color="CCCCCC" w:sz="4"/>
              <w:right w:val="single" w:color="CCCCCC" w:sz="4"/>
            </w:tcBorders>
            <w:shd w:fill="F5EFE3" w:color="auto" w:val="clear"/>
            <w:tcMar>
              <w:top w:type="dxa" w:w="100"/>
              <w:left w:type="dxa" w:w="140"/>
              <w:bottom w:type="dxa" w:w="100"/>
              <w:right w:type="dxa" w:w="140"/>
            </w:tcMar>
          </w:tcPr>
          <w:p>
            <w:pPr>
              <w:jc w:val="left"/>
            </w:pPr>
            <w:r>
              <w:rPr>
                <w:b w:val="false"/>
                <w:bCs w:val="false"/>
                <w:color w:val="1A1A1A"/>
                <w:sz w:val="20"/>
                <w:szCs w:val="20"/>
              </w:rPr>
              <w:t xml:space="preserve">Information Technology</w:t>
            </w:r>
          </w:p>
        </w:tc>
        <w:tc>
          <w:tcPr>
            <w:tcW w:type="dxa" w:w="3000"/>
            <w:tcBorders>
              <w:top w:val="single" w:color="CCCCCC" w:sz="4"/>
              <w:left w:val="single" w:color="CCCCCC" w:sz="4"/>
              <w:bottom w:val="single" w:color="CCCCCC" w:sz="4"/>
              <w:right w:val="single" w:color="CCCCCC" w:sz="4"/>
            </w:tcBorders>
            <w:shd w:fill="F5EFE3" w:color="auto" w:val="clear"/>
            <w:tcMar>
              <w:top w:type="dxa" w:w="100"/>
              <w:left w:type="dxa" w:w="140"/>
              <w:bottom w:type="dxa" w:w="100"/>
              <w:right w:type="dxa" w:w="140"/>
            </w:tcMar>
          </w:tcPr>
          <w:p>
            <w:pPr>
              <w:jc w:val="right"/>
            </w:pPr>
            <w:r>
              <w:rPr>
                <w:b/>
                <w:bCs/>
                <w:color w:val="1A1A1A"/>
                <w:sz w:val="20"/>
                <w:szCs w:val="20"/>
              </w:rPr>
              <w:t xml:space="preserve">10</w:t>
            </w:r>
          </w:p>
        </w:tc>
      </w:tr>
      <w:tr>
        <w:tc>
          <w:tcPr>
            <w:tcW w:type="dxa" w:w="6360"/>
            <w:tcBorders>
              <w:top w:val="single" w:color="CCCCCC" w:sz="4"/>
              <w:left w:val="single" w:color="CCCCCC" w:sz="4"/>
              <w:bottom w:val="single" w:color="CCCCCC" w:sz="4"/>
              <w:right w:val="single" w:color="CCCCCC" w:sz="4"/>
            </w:tcBorders>
            <w:shd w:fill="FFFFFF" w:color="auto" w:val="clear"/>
            <w:tcMar>
              <w:top w:type="dxa" w:w="100"/>
              <w:left w:type="dxa" w:w="140"/>
              <w:bottom w:type="dxa" w:w="100"/>
              <w:right w:type="dxa" w:w="140"/>
            </w:tcMar>
          </w:tcPr>
          <w:p>
            <w:pPr>
              <w:jc w:val="left"/>
            </w:pPr>
            <w:r>
              <w:rPr>
                <w:b w:val="false"/>
                <w:bCs w:val="false"/>
                <w:color w:val="1A1A1A"/>
                <w:sz w:val="20"/>
                <w:szCs w:val="20"/>
              </w:rPr>
              <w:t xml:space="preserve">Marketing &amp; Communications</w:t>
            </w:r>
          </w:p>
        </w:tc>
        <w:tc>
          <w:tcPr>
            <w:tcW w:type="dxa" w:w="3000"/>
            <w:tcBorders>
              <w:top w:val="single" w:color="CCCCCC" w:sz="4"/>
              <w:left w:val="single" w:color="CCCCCC" w:sz="4"/>
              <w:bottom w:val="single" w:color="CCCCCC" w:sz="4"/>
              <w:right w:val="single" w:color="CCCCCC" w:sz="4"/>
            </w:tcBorders>
            <w:shd w:fill="FFFFFF" w:color="auto" w:val="clear"/>
            <w:tcMar>
              <w:top w:type="dxa" w:w="100"/>
              <w:left w:type="dxa" w:w="140"/>
              <w:bottom w:type="dxa" w:w="100"/>
              <w:right w:type="dxa" w:w="140"/>
            </w:tcMar>
          </w:tcPr>
          <w:p>
            <w:pPr>
              <w:jc w:val="right"/>
            </w:pPr>
            <w:r>
              <w:rPr>
                <w:b/>
                <w:bCs/>
                <w:color w:val="1A1A1A"/>
                <w:sz w:val="20"/>
                <w:szCs w:val="20"/>
              </w:rPr>
              <w:t xml:space="preserve">5</w:t>
            </w:r>
          </w:p>
        </w:tc>
      </w:tr>
      <w:tr>
        <w:tc>
          <w:tcPr>
            <w:tcW w:type="dxa" w:w="6360"/>
            <w:tcBorders>
              <w:top w:val="single" w:color="CCCCCC" w:sz="4"/>
              <w:left w:val="single" w:color="CCCCCC" w:sz="4"/>
              <w:bottom w:val="single" w:color="CCCCCC" w:sz="4"/>
              <w:right w:val="single" w:color="CCCCCC" w:sz="4"/>
            </w:tcBorders>
            <w:shd w:fill="F5EFE3" w:color="auto" w:val="clear"/>
            <w:tcMar>
              <w:top w:type="dxa" w:w="100"/>
              <w:left w:type="dxa" w:w="140"/>
              <w:bottom w:type="dxa" w:w="100"/>
              <w:right w:type="dxa" w:w="140"/>
            </w:tcMar>
          </w:tcPr>
          <w:p>
            <w:pPr>
              <w:jc w:val="left"/>
            </w:pPr>
            <w:r>
              <w:rPr>
                <w:b w:val="false"/>
                <w:bCs w:val="false"/>
                <w:color w:val="1A1A1A"/>
                <w:sz w:val="20"/>
                <w:szCs w:val="20"/>
              </w:rPr>
              <w:t xml:space="preserve">Facilities</w:t>
            </w:r>
          </w:p>
        </w:tc>
        <w:tc>
          <w:tcPr>
            <w:tcW w:type="dxa" w:w="3000"/>
            <w:tcBorders>
              <w:top w:val="single" w:color="CCCCCC" w:sz="4"/>
              <w:left w:val="single" w:color="CCCCCC" w:sz="4"/>
              <w:bottom w:val="single" w:color="CCCCCC" w:sz="4"/>
              <w:right w:val="single" w:color="CCCCCC" w:sz="4"/>
            </w:tcBorders>
            <w:shd w:fill="F5EFE3" w:color="auto" w:val="clear"/>
            <w:tcMar>
              <w:top w:type="dxa" w:w="100"/>
              <w:left w:type="dxa" w:w="140"/>
              <w:bottom w:type="dxa" w:w="100"/>
              <w:right w:type="dxa" w:w="140"/>
            </w:tcMar>
          </w:tcPr>
          <w:p>
            <w:pPr>
              <w:jc w:val="right"/>
            </w:pPr>
            <w:r>
              <w:rPr>
                <w:b/>
                <w:bCs/>
                <w:color w:val="1A1A1A"/>
                <w:sz w:val="20"/>
                <w:szCs w:val="20"/>
              </w:rPr>
              <w:t xml:space="preserve">20</w:t>
            </w:r>
          </w:p>
        </w:tc>
      </w:tr>
      <w:tr>
        <w:tc>
          <w:tcPr>
            <w:tcW w:type="dxa" w:w="6360"/>
            <w:tcBorders>
              <w:top w:val="single" w:color="CCCCCC" w:sz="4"/>
              <w:left w:val="single" w:color="CCCCCC" w:sz="4"/>
              <w:bottom w:val="single" w:color="CCCCCC" w:sz="4"/>
              <w:right w:val="single" w:color="CCCCCC" w:sz="4"/>
            </w:tcBorders>
            <w:shd w:fill="FFFFFF" w:color="auto" w:val="clear"/>
            <w:tcMar>
              <w:top w:type="dxa" w:w="100"/>
              <w:left w:type="dxa" w:w="140"/>
              <w:bottom w:type="dxa" w:w="100"/>
              <w:right w:type="dxa" w:w="140"/>
            </w:tcMar>
          </w:tcPr>
          <w:p>
            <w:pPr>
              <w:jc w:val="left"/>
            </w:pPr>
            <w:r>
              <w:rPr>
                <w:b w:val="false"/>
                <w:bCs w:val="false"/>
                <w:color w:val="1A1A1A"/>
                <w:sz w:val="20"/>
                <w:szCs w:val="20"/>
              </w:rPr>
              <w:t xml:space="preserve">Residence Life</w:t>
            </w:r>
          </w:p>
        </w:tc>
        <w:tc>
          <w:tcPr>
            <w:tcW w:type="dxa" w:w="3000"/>
            <w:tcBorders>
              <w:top w:val="single" w:color="CCCCCC" w:sz="4"/>
              <w:left w:val="single" w:color="CCCCCC" w:sz="4"/>
              <w:bottom w:val="single" w:color="CCCCCC" w:sz="4"/>
              <w:right w:val="single" w:color="CCCCCC" w:sz="4"/>
            </w:tcBorders>
            <w:shd w:fill="FFFFFF" w:color="auto" w:val="clear"/>
            <w:tcMar>
              <w:top w:type="dxa" w:w="100"/>
              <w:left w:type="dxa" w:w="140"/>
              <w:bottom w:type="dxa" w:w="100"/>
              <w:right w:type="dxa" w:w="140"/>
            </w:tcMar>
          </w:tcPr>
          <w:p>
            <w:pPr>
              <w:jc w:val="right"/>
            </w:pPr>
            <w:r>
              <w:rPr>
                <w:b/>
                <w:bCs/>
                <w:color w:val="1A1A1A"/>
                <w:sz w:val="20"/>
                <w:szCs w:val="20"/>
              </w:rPr>
              <w:t xml:space="preserve">10</w:t>
            </w:r>
          </w:p>
        </w:tc>
      </w:tr>
      <w:tr>
        <w:tc>
          <w:tcPr>
            <w:tcW w:type="dxa" w:w="6360"/>
            <w:tcBorders>
              <w:top w:val="single" w:color="CCCCCC" w:sz="4"/>
              <w:left w:val="single" w:color="CCCCCC" w:sz="4"/>
              <w:bottom w:val="single" w:color="CCCCCC" w:sz="4"/>
              <w:right w:val="single" w:color="CCCCCC" w:sz="4"/>
            </w:tcBorders>
            <w:shd w:fill="F5EFE3" w:color="auto" w:val="clear"/>
            <w:tcMar>
              <w:top w:type="dxa" w:w="100"/>
              <w:left w:type="dxa" w:w="140"/>
              <w:bottom w:type="dxa" w:w="100"/>
              <w:right w:type="dxa" w:w="140"/>
            </w:tcMar>
          </w:tcPr>
          <w:p>
            <w:pPr>
              <w:jc w:val="left"/>
            </w:pPr>
            <w:r>
              <w:rPr>
                <w:b w:val="false"/>
                <w:bCs w:val="false"/>
                <w:color w:val="1A1A1A"/>
                <w:sz w:val="20"/>
                <w:szCs w:val="20"/>
              </w:rPr>
              <w:t xml:space="preserve">Library</w:t>
            </w:r>
          </w:p>
        </w:tc>
        <w:tc>
          <w:tcPr>
            <w:tcW w:type="dxa" w:w="3000"/>
            <w:tcBorders>
              <w:top w:val="single" w:color="CCCCCC" w:sz="4"/>
              <w:left w:val="single" w:color="CCCCCC" w:sz="4"/>
              <w:bottom w:val="single" w:color="CCCCCC" w:sz="4"/>
              <w:right w:val="single" w:color="CCCCCC" w:sz="4"/>
            </w:tcBorders>
            <w:shd w:fill="F5EFE3" w:color="auto" w:val="clear"/>
            <w:tcMar>
              <w:top w:type="dxa" w:w="100"/>
              <w:left w:type="dxa" w:w="140"/>
              <w:bottom w:type="dxa" w:w="100"/>
              <w:right w:type="dxa" w:w="140"/>
            </w:tcMar>
          </w:tcPr>
          <w:p>
            <w:pPr>
              <w:jc w:val="right"/>
            </w:pPr>
            <w:r>
              <w:rPr>
                <w:b/>
                <w:bCs/>
                <w:color w:val="1A1A1A"/>
                <w:sz w:val="20"/>
                <w:szCs w:val="20"/>
              </w:rPr>
              <w:t xml:space="preserve">5</w:t>
            </w:r>
          </w:p>
        </w:tc>
      </w:tr>
      <w:tr>
        <w:tc>
          <w:tcPr>
            <w:tcW w:type="dxa" w:w="6360"/>
            <w:tcBorders>
              <w:top w:val="single" w:color="CCCCCC" w:sz="4"/>
              <w:left w:val="single" w:color="CCCCCC" w:sz="4"/>
              <w:bottom w:val="single" w:color="CCCCCC" w:sz="4"/>
              <w:right w:val="single" w:color="CCCCCC" w:sz="4"/>
            </w:tcBorders>
            <w:shd w:fill="FFFFFF" w:color="auto" w:val="clear"/>
            <w:tcMar>
              <w:top w:type="dxa" w:w="100"/>
              <w:left w:type="dxa" w:w="140"/>
              <w:bottom w:type="dxa" w:w="100"/>
              <w:right w:type="dxa" w:w="140"/>
            </w:tcMar>
          </w:tcPr>
          <w:p>
            <w:pPr>
              <w:jc w:val="left"/>
            </w:pPr>
            <w:r>
              <w:rPr>
                <w:b w:val="false"/>
                <w:bCs w:val="false"/>
                <w:color w:val="1A1A1A"/>
                <w:sz w:val="20"/>
                <w:szCs w:val="20"/>
              </w:rPr>
              <w:t xml:space="preserve">Finance &amp; Human Resources</w:t>
            </w:r>
          </w:p>
        </w:tc>
        <w:tc>
          <w:tcPr>
            <w:tcW w:type="dxa" w:w="3000"/>
            <w:tcBorders>
              <w:top w:val="single" w:color="CCCCCC" w:sz="4"/>
              <w:left w:val="single" w:color="CCCCCC" w:sz="4"/>
              <w:bottom w:val="single" w:color="CCCCCC" w:sz="4"/>
              <w:right w:val="single" w:color="CCCCCC" w:sz="4"/>
            </w:tcBorders>
            <w:shd w:fill="FFFFFF" w:color="auto" w:val="clear"/>
            <w:tcMar>
              <w:top w:type="dxa" w:w="100"/>
              <w:left w:type="dxa" w:w="140"/>
              <w:bottom w:type="dxa" w:w="100"/>
              <w:right w:type="dxa" w:w="140"/>
            </w:tcMar>
          </w:tcPr>
          <w:p>
            <w:pPr>
              <w:jc w:val="right"/>
            </w:pPr>
            <w:r>
              <w:rPr>
                <w:b/>
                <w:bCs/>
                <w:color w:val="1A1A1A"/>
                <w:sz w:val="20"/>
                <w:szCs w:val="20"/>
              </w:rPr>
              <w:t xml:space="preserve">10</w:t>
            </w:r>
          </w:p>
        </w:tc>
      </w:tr>
      <w:tr>
        <w:tc>
          <w:tcPr>
            <w:tcW w:type="dxa" w:w="6360"/>
            <w:tcBorders>
              <w:top w:val="single" w:color="CCCCCC" w:sz="4"/>
              <w:left w:val="single" w:color="CCCCCC" w:sz="4"/>
              <w:bottom w:val="single" w:color="CCCCCC" w:sz="4"/>
              <w:right w:val="single" w:color="CCCCCC" w:sz="4"/>
            </w:tcBorders>
            <w:shd w:fill="F5EFE3" w:color="auto" w:val="clear"/>
            <w:tcMar>
              <w:top w:type="dxa" w:w="100"/>
              <w:left w:type="dxa" w:w="140"/>
              <w:bottom w:type="dxa" w:w="100"/>
              <w:right w:type="dxa" w:w="140"/>
            </w:tcMar>
          </w:tcPr>
          <w:p>
            <w:pPr>
              <w:jc w:val="left"/>
            </w:pPr>
            <w:r>
              <w:rPr>
                <w:b w:val="false"/>
                <w:bCs w:val="false"/>
                <w:color w:val="1A1A1A"/>
                <w:sz w:val="20"/>
                <w:szCs w:val="20"/>
              </w:rPr>
              <w:t xml:space="preserve">Executive Administration</w:t>
            </w:r>
          </w:p>
        </w:tc>
        <w:tc>
          <w:tcPr>
            <w:tcW w:type="dxa" w:w="3000"/>
            <w:tcBorders>
              <w:top w:val="single" w:color="CCCCCC" w:sz="4"/>
              <w:left w:val="single" w:color="CCCCCC" w:sz="4"/>
              <w:bottom w:val="single" w:color="CCCCCC" w:sz="4"/>
              <w:right w:val="single" w:color="CCCCCC" w:sz="4"/>
            </w:tcBorders>
            <w:shd w:fill="F5EFE3" w:color="auto" w:val="clear"/>
            <w:tcMar>
              <w:top w:type="dxa" w:w="100"/>
              <w:left w:type="dxa" w:w="140"/>
              <w:bottom w:type="dxa" w:w="100"/>
              <w:right w:type="dxa" w:w="140"/>
            </w:tcMar>
          </w:tcPr>
          <w:p>
            <w:pPr>
              <w:jc w:val="right"/>
            </w:pPr>
            <w:r>
              <w:rPr>
                <w:b/>
                <w:bCs/>
                <w:color w:val="1A1A1A"/>
                <w:sz w:val="20"/>
                <w:szCs w:val="20"/>
              </w:rPr>
              <w:t xml:space="preserve">5</w:t>
            </w:r>
          </w:p>
        </w:tc>
      </w:tr>
      <w:tr>
        <w:tc>
          <w:tcPr>
            <w:tcW w:type="dxa" w:w="6360"/>
            <w:tcBorders>
              <w:top w:val="single" w:color="CCCCCC" w:sz="4"/>
              <w:left w:val="single" w:color="CCCCCC" w:sz="4"/>
              <w:bottom w:val="single" w:color="CCCCCC" w:sz="4"/>
              <w:right w:val="single" w:color="CCCCCC" w:sz="4"/>
            </w:tcBorders>
            <w:shd w:fill="1A1A1A" w:color="auto" w:val="clear"/>
            <w:tcMar>
              <w:top w:type="dxa" w:w="100"/>
              <w:left w:type="dxa" w:w="140"/>
              <w:bottom w:type="dxa" w:w="100"/>
              <w:right w:type="dxa" w:w="140"/>
            </w:tcMar>
          </w:tcPr>
          <w:p>
            <w:pPr>
              <w:jc w:val="left"/>
            </w:pPr>
            <w:r>
              <w:rPr>
                <w:b/>
                <w:bCs/>
                <w:color w:val="FFFFFF"/>
                <w:sz w:val="20"/>
                <w:szCs w:val="20"/>
              </w:rPr>
              <w:t xml:space="preserve">Total  (approximate range 85 – 95)</w:t>
            </w:r>
          </w:p>
        </w:tc>
        <w:tc>
          <w:tcPr>
            <w:tcW w:type="dxa" w:w="3000"/>
            <w:tcBorders>
              <w:top w:val="single" w:color="CCCCCC" w:sz="4"/>
              <w:left w:val="single" w:color="CCCCCC" w:sz="4"/>
              <w:bottom w:val="single" w:color="CCCCCC" w:sz="4"/>
              <w:right w:val="single" w:color="CCCCCC" w:sz="4"/>
            </w:tcBorders>
            <w:shd w:fill="1A1A1A" w:color="auto" w:val="clear"/>
            <w:tcMar>
              <w:top w:type="dxa" w:w="100"/>
              <w:left w:type="dxa" w:w="140"/>
              <w:bottom w:type="dxa" w:w="100"/>
              <w:right w:type="dxa" w:w="140"/>
            </w:tcMar>
          </w:tcPr>
          <w:p>
            <w:pPr>
              <w:jc w:val="right"/>
            </w:pPr>
            <w:r>
              <w:rPr>
                <w:b/>
                <w:bCs/>
                <w:color w:val="FFFFFF"/>
                <w:sz w:val="20"/>
                <w:szCs w:val="20"/>
              </w:rPr>
              <w:t xml:space="preserve">100</w:t>
            </w:r>
          </w:p>
        </w:tc>
      </w:tr>
    </w:tbl>
    <w:p>
      <w:r>
        <w:br w:type="page"/>
      </w:r>
    </w:p>
    <w:p>
      <w:pPr>
        <w:spacing w:after="60" w:before="80"/>
      </w:pPr>
      <w:r>
        <w:rPr>
          <w:rFonts w:ascii="Arial" w:cs="Arial" w:eastAsia="Arial" w:hAnsi="Arial"/>
          <w:b/>
          <w:bCs/>
          <w:color w:val="8B2A2A"/>
          <w:spacing w:val="40"/>
          <w:sz w:val="16"/>
          <w:szCs w:val="16"/>
        </w:rPr>
        <w:t xml:space="preserve">§ V  ·  ANNUAL OPERATING BUDGET</w:t>
      </w:r>
    </w:p>
    <w:p>
      <w:pPr>
        <w:pStyle w:val="Heading1"/>
        <w:pBdr>
          <w:bottom w:val="single" w:color="8B2A2A" w:sz="8" w:space="6"/>
        </w:pBdr>
        <w:spacing w:after="180" w:before="360"/>
      </w:pPr>
      <w:r>
        <w:rPr>
          <w:rFonts w:ascii="Georgia" w:cs="Georgia" w:eastAsia="Georgia" w:hAnsi="Georgia"/>
          <w:b/>
          <w:bCs/>
          <w:color w:val="8B2A2A"/>
          <w:sz w:val="32"/>
          <w:szCs w:val="32"/>
        </w:rPr>
        <w:t xml:space="preserve">Illustrative budget at 1,000 students.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360"/>
        <w:gridCol w:w="3000"/>
      </w:tblGrid>
      <w:tr>
        <w:trPr>
          <w:tblHeader/>
        </w:trPr>
        <w:tc>
          <w:tcPr>
            <w:tcW w:type="dxa" w:w="6360"/>
            <w:tcBorders>
              <w:top w:val="single" w:color="CCCCCC" w:sz="4"/>
              <w:left w:val="single" w:color="CCCCCC" w:sz="4"/>
              <w:bottom w:val="single" w:color="CCCCCC" w:sz="4"/>
              <w:right w:val="single" w:color="CCCCCC" w:sz="4"/>
            </w:tcBorders>
            <w:shd w:fill="8B2A2A" w:color="auto" w:val="clear"/>
            <w:tcMar>
              <w:top w:type="dxa" w:w="100"/>
              <w:left w:type="dxa" w:w="140"/>
              <w:bottom w:type="dxa" w:w="100"/>
              <w:right w:type="dxa" w:w="140"/>
            </w:tcMar>
          </w:tcPr>
          <w:p>
            <w:pPr>
              <w:jc w:val="left"/>
            </w:pPr>
            <w:r>
              <w:rPr>
                <w:b/>
                <w:bCs/>
                <w:color w:val="FFFFFF"/>
                <w:sz w:val="20"/>
                <w:szCs w:val="20"/>
              </w:rPr>
              <w:t xml:space="preserve">Line item</w:t>
            </w:r>
          </w:p>
        </w:tc>
        <w:tc>
          <w:tcPr>
            <w:tcW w:type="dxa" w:w="3000"/>
            <w:tcBorders>
              <w:top w:val="single" w:color="CCCCCC" w:sz="4"/>
              <w:left w:val="single" w:color="CCCCCC" w:sz="4"/>
              <w:bottom w:val="single" w:color="CCCCCC" w:sz="4"/>
              <w:right w:val="single" w:color="CCCCCC" w:sz="4"/>
            </w:tcBorders>
            <w:shd w:fill="8B2A2A" w:color="auto" w:val="clear"/>
            <w:tcMar>
              <w:top w:type="dxa" w:w="100"/>
              <w:left w:type="dxa" w:w="140"/>
              <w:bottom w:type="dxa" w:w="100"/>
              <w:right w:type="dxa" w:w="140"/>
            </w:tcMar>
          </w:tcPr>
          <w:p>
            <w:pPr>
              <w:jc w:val="right"/>
            </w:pPr>
            <w:r>
              <w:rPr>
                <w:b/>
                <w:bCs/>
                <w:color w:val="FFFFFF"/>
                <w:sz w:val="20"/>
                <w:szCs w:val="20"/>
              </w:rPr>
              <w:t xml:space="preserve">Annual estimate</w:t>
            </w:r>
          </w:p>
        </w:tc>
      </w:tr>
      <w:tr>
        <w:tc>
          <w:tcPr>
            <w:tcW w:type="dxa" w:w="6360"/>
            <w:tcBorders>
              <w:top w:val="single" w:color="CCCCCC" w:sz="4"/>
              <w:left w:val="single" w:color="CCCCCC" w:sz="4"/>
              <w:bottom w:val="single" w:color="CCCCCC" w:sz="4"/>
              <w:right w:val="single" w:color="CCCCCC" w:sz="4"/>
            </w:tcBorders>
            <w:shd w:fill="FFFFFF" w:color="auto" w:val="clear"/>
            <w:tcMar>
              <w:top w:type="dxa" w:w="100"/>
              <w:left w:type="dxa" w:w="140"/>
              <w:bottom w:type="dxa" w:w="100"/>
              <w:right w:type="dxa" w:w="140"/>
            </w:tcMar>
          </w:tcPr>
          <w:p>
            <w:pPr>
              <w:jc w:val="left"/>
            </w:pPr>
            <w:r>
              <w:rPr>
                <w:b w:val="false"/>
                <w:bCs w:val="false"/>
                <w:color w:val="1A1A1A"/>
                <w:sz w:val="20"/>
                <w:szCs w:val="20"/>
              </w:rPr>
              <w:t xml:space="preserve">Faculty compensation (salary + benefits)</w:t>
            </w:r>
          </w:p>
        </w:tc>
        <w:tc>
          <w:tcPr>
            <w:tcW w:type="dxa" w:w="3000"/>
            <w:tcBorders>
              <w:top w:val="single" w:color="CCCCCC" w:sz="4"/>
              <w:left w:val="single" w:color="CCCCCC" w:sz="4"/>
              <w:bottom w:val="single" w:color="CCCCCC" w:sz="4"/>
              <w:right w:val="single" w:color="CCCCCC" w:sz="4"/>
            </w:tcBorders>
            <w:shd w:fill="FFFFFF" w:color="auto" w:val="clear"/>
            <w:tcMar>
              <w:top w:type="dxa" w:w="100"/>
              <w:left w:type="dxa" w:w="140"/>
              <w:bottom w:type="dxa" w:w="100"/>
              <w:right w:type="dxa" w:w="140"/>
            </w:tcMar>
          </w:tcPr>
          <w:p>
            <w:pPr>
              <w:jc w:val="right"/>
            </w:pPr>
            <w:r>
              <w:rPr>
                <w:b/>
                <w:bCs/>
                <w:color w:val="1A1A1A"/>
                <w:sz w:val="20"/>
                <w:szCs w:val="20"/>
              </w:rPr>
              <w:t xml:space="preserve">$9 – 11 M</w:t>
            </w:r>
          </w:p>
        </w:tc>
      </w:tr>
      <w:tr>
        <w:tc>
          <w:tcPr>
            <w:tcW w:type="dxa" w:w="6360"/>
            <w:tcBorders>
              <w:top w:val="single" w:color="CCCCCC" w:sz="4"/>
              <w:left w:val="single" w:color="CCCCCC" w:sz="4"/>
              <w:bottom w:val="single" w:color="CCCCCC" w:sz="4"/>
              <w:right w:val="single" w:color="CCCCCC" w:sz="4"/>
            </w:tcBorders>
            <w:shd w:fill="F5EFE3" w:color="auto" w:val="clear"/>
            <w:tcMar>
              <w:top w:type="dxa" w:w="100"/>
              <w:left w:type="dxa" w:w="140"/>
              <w:bottom w:type="dxa" w:w="100"/>
              <w:right w:type="dxa" w:w="140"/>
            </w:tcMar>
          </w:tcPr>
          <w:p>
            <w:pPr>
              <w:jc w:val="left"/>
            </w:pPr>
            <w:r>
              <w:rPr>
                <w:b w:val="false"/>
                <w:bCs w:val="false"/>
                <w:color w:val="1A1A1A"/>
                <w:sz w:val="20"/>
                <w:szCs w:val="20"/>
              </w:rPr>
              <w:t xml:space="preserve">Staff compensation</w:t>
            </w:r>
          </w:p>
        </w:tc>
        <w:tc>
          <w:tcPr>
            <w:tcW w:type="dxa" w:w="3000"/>
            <w:tcBorders>
              <w:top w:val="single" w:color="CCCCCC" w:sz="4"/>
              <w:left w:val="single" w:color="CCCCCC" w:sz="4"/>
              <w:bottom w:val="single" w:color="CCCCCC" w:sz="4"/>
              <w:right w:val="single" w:color="CCCCCC" w:sz="4"/>
            </w:tcBorders>
            <w:shd w:fill="F5EFE3" w:color="auto" w:val="clear"/>
            <w:tcMar>
              <w:top w:type="dxa" w:w="100"/>
              <w:left w:type="dxa" w:w="140"/>
              <w:bottom w:type="dxa" w:w="100"/>
              <w:right w:type="dxa" w:w="140"/>
            </w:tcMar>
          </w:tcPr>
          <w:p>
            <w:pPr>
              <w:jc w:val="right"/>
            </w:pPr>
            <w:r>
              <w:rPr>
                <w:b/>
                <w:bCs/>
                <w:color w:val="1A1A1A"/>
                <w:sz w:val="20"/>
                <w:szCs w:val="20"/>
              </w:rPr>
              <w:t xml:space="preserve">$7 – 9 M</w:t>
            </w:r>
          </w:p>
        </w:tc>
      </w:tr>
      <w:tr>
        <w:tc>
          <w:tcPr>
            <w:tcW w:type="dxa" w:w="6360"/>
            <w:tcBorders>
              <w:top w:val="single" w:color="CCCCCC" w:sz="4"/>
              <w:left w:val="single" w:color="CCCCCC" w:sz="4"/>
              <w:bottom w:val="single" w:color="CCCCCC" w:sz="4"/>
              <w:right w:val="single" w:color="CCCCCC" w:sz="4"/>
            </w:tcBorders>
            <w:shd w:fill="FFFFFF" w:color="auto" w:val="clear"/>
            <w:tcMar>
              <w:top w:type="dxa" w:w="100"/>
              <w:left w:type="dxa" w:w="140"/>
              <w:bottom w:type="dxa" w:w="100"/>
              <w:right w:type="dxa" w:w="140"/>
            </w:tcMar>
          </w:tcPr>
          <w:p>
            <w:pPr>
              <w:jc w:val="left"/>
            </w:pPr>
            <w:r>
              <w:rPr>
                <w:b w:val="false"/>
                <w:bCs w:val="false"/>
                <w:color w:val="1A1A1A"/>
                <w:sz w:val="20"/>
                <w:szCs w:val="20"/>
              </w:rPr>
              <w:t xml:space="preserve">Facilities, utilities, maintenance</w:t>
            </w:r>
          </w:p>
        </w:tc>
        <w:tc>
          <w:tcPr>
            <w:tcW w:type="dxa" w:w="3000"/>
            <w:tcBorders>
              <w:top w:val="single" w:color="CCCCCC" w:sz="4"/>
              <w:left w:val="single" w:color="CCCCCC" w:sz="4"/>
              <w:bottom w:val="single" w:color="CCCCCC" w:sz="4"/>
              <w:right w:val="single" w:color="CCCCCC" w:sz="4"/>
            </w:tcBorders>
            <w:shd w:fill="FFFFFF" w:color="auto" w:val="clear"/>
            <w:tcMar>
              <w:top w:type="dxa" w:w="100"/>
              <w:left w:type="dxa" w:w="140"/>
              <w:bottom w:type="dxa" w:w="100"/>
              <w:right w:type="dxa" w:w="140"/>
            </w:tcMar>
          </w:tcPr>
          <w:p>
            <w:pPr>
              <w:jc w:val="right"/>
            </w:pPr>
            <w:r>
              <w:rPr>
                <w:b/>
                <w:bCs/>
                <w:color w:val="1A1A1A"/>
                <w:sz w:val="20"/>
                <w:szCs w:val="20"/>
              </w:rPr>
              <w:t xml:space="preserve">$4 – 6 M</w:t>
            </w:r>
          </w:p>
        </w:tc>
      </w:tr>
      <w:tr>
        <w:tc>
          <w:tcPr>
            <w:tcW w:type="dxa" w:w="6360"/>
            <w:tcBorders>
              <w:top w:val="single" w:color="CCCCCC" w:sz="4"/>
              <w:left w:val="single" w:color="CCCCCC" w:sz="4"/>
              <w:bottom w:val="single" w:color="CCCCCC" w:sz="4"/>
              <w:right w:val="single" w:color="CCCCCC" w:sz="4"/>
            </w:tcBorders>
            <w:shd w:fill="F5EFE3" w:color="auto" w:val="clear"/>
            <w:tcMar>
              <w:top w:type="dxa" w:w="100"/>
              <w:left w:type="dxa" w:w="140"/>
              <w:bottom w:type="dxa" w:w="100"/>
              <w:right w:type="dxa" w:w="140"/>
            </w:tcMar>
          </w:tcPr>
          <w:p>
            <w:pPr>
              <w:jc w:val="left"/>
            </w:pPr>
            <w:r>
              <w:rPr>
                <w:b w:val="false"/>
                <w:bCs w:val="false"/>
                <w:color w:val="1A1A1A"/>
                <w:sz w:val="20"/>
                <w:szCs w:val="20"/>
              </w:rPr>
              <w:t xml:space="preserve">Technology, software, cybersecurity</w:t>
            </w:r>
          </w:p>
        </w:tc>
        <w:tc>
          <w:tcPr>
            <w:tcW w:type="dxa" w:w="3000"/>
            <w:tcBorders>
              <w:top w:val="single" w:color="CCCCCC" w:sz="4"/>
              <w:left w:val="single" w:color="CCCCCC" w:sz="4"/>
              <w:bottom w:val="single" w:color="CCCCCC" w:sz="4"/>
              <w:right w:val="single" w:color="CCCCCC" w:sz="4"/>
            </w:tcBorders>
            <w:shd w:fill="F5EFE3" w:color="auto" w:val="clear"/>
            <w:tcMar>
              <w:top w:type="dxa" w:w="100"/>
              <w:left w:type="dxa" w:w="140"/>
              <w:bottom w:type="dxa" w:w="100"/>
              <w:right w:type="dxa" w:w="140"/>
            </w:tcMar>
          </w:tcPr>
          <w:p>
            <w:pPr>
              <w:jc w:val="right"/>
            </w:pPr>
            <w:r>
              <w:rPr>
                <w:b/>
                <w:bCs/>
                <w:color w:val="1A1A1A"/>
                <w:sz w:val="20"/>
                <w:szCs w:val="20"/>
              </w:rPr>
              <w:t xml:space="preserve">$1 – 2 M</w:t>
            </w:r>
          </w:p>
        </w:tc>
      </w:tr>
      <w:tr>
        <w:tc>
          <w:tcPr>
            <w:tcW w:type="dxa" w:w="6360"/>
            <w:tcBorders>
              <w:top w:val="single" w:color="CCCCCC" w:sz="4"/>
              <w:left w:val="single" w:color="CCCCCC" w:sz="4"/>
              <w:bottom w:val="single" w:color="CCCCCC" w:sz="4"/>
              <w:right w:val="single" w:color="CCCCCC" w:sz="4"/>
            </w:tcBorders>
            <w:shd w:fill="FFFFFF" w:color="auto" w:val="clear"/>
            <w:tcMar>
              <w:top w:type="dxa" w:w="100"/>
              <w:left w:type="dxa" w:w="140"/>
              <w:bottom w:type="dxa" w:w="100"/>
              <w:right w:type="dxa" w:w="140"/>
            </w:tcMar>
          </w:tcPr>
          <w:p>
            <w:pPr>
              <w:jc w:val="left"/>
            </w:pPr>
            <w:r>
              <w:rPr>
                <w:b w:val="false"/>
                <w:bCs w:val="false"/>
                <w:color w:val="1A1A1A"/>
                <w:sz w:val="20"/>
                <w:szCs w:val="20"/>
              </w:rPr>
              <w:t xml:space="preserve">Library and academic resources</w:t>
            </w:r>
          </w:p>
        </w:tc>
        <w:tc>
          <w:tcPr>
            <w:tcW w:type="dxa" w:w="3000"/>
            <w:tcBorders>
              <w:top w:val="single" w:color="CCCCCC" w:sz="4"/>
              <w:left w:val="single" w:color="CCCCCC" w:sz="4"/>
              <w:bottom w:val="single" w:color="CCCCCC" w:sz="4"/>
              <w:right w:val="single" w:color="CCCCCC" w:sz="4"/>
            </w:tcBorders>
            <w:shd w:fill="FFFFFF" w:color="auto" w:val="clear"/>
            <w:tcMar>
              <w:top w:type="dxa" w:w="100"/>
              <w:left w:type="dxa" w:w="140"/>
              <w:bottom w:type="dxa" w:w="100"/>
              <w:right w:type="dxa" w:w="140"/>
            </w:tcMar>
          </w:tcPr>
          <w:p>
            <w:pPr>
              <w:jc w:val="right"/>
            </w:pPr>
            <w:r>
              <w:rPr>
                <w:b/>
                <w:bCs/>
                <w:color w:val="1A1A1A"/>
                <w:sz w:val="20"/>
                <w:szCs w:val="20"/>
              </w:rPr>
              <w:t xml:space="preserve">$1 M</w:t>
            </w:r>
          </w:p>
        </w:tc>
      </w:tr>
      <w:tr>
        <w:tc>
          <w:tcPr>
            <w:tcW w:type="dxa" w:w="6360"/>
            <w:tcBorders>
              <w:top w:val="single" w:color="CCCCCC" w:sz="4"/>
              <w:left w:val="single" w:color="CCCCCC" w:sz="4"/>
              <w:bottom w:val="single" w:color="CCCCCC" w:sz="4"/>
              <w:right w:val="single" w:color="CCCCCC" w:sz="4"/>
            </w:tcBorders>
            <w:shd w:fill="F5EFE3" w:color="auto" w:val="clear"/>
            <w:tcMar>
              <w:top w:type="dxa" w:w="100"/>
              <w:left w:type="dxa" w:w="140"/>
              <w:bottom w:type="dxa" w:w="100"/>
              <w:right w:type="dxa" w:w="140"/>
            </w:tcMar>
          </w:tcPr>
          <w:p>
            <w:pPr>
              <w:jc w:val="left"/>
            </w:pPr>
            <w:r>
              <w:rPr>
                <w:b w:val="false"/>
                <w:bCs w:val="false"/>
                <w:color w:val="1A1A1A"/>
                <w:sz w:val="20"/>
                <w:szCs w:val="20"/>
              </w:rPr>
              <w:t xml:space="preserve">Student services and programming</w:t>
            </w:r>
          </w:p>
        </w:tc>
        <w:tc>
          <w:tcPr>
            <w:tcW w:type="dxa" w:w="3000"/>
            <w:tcBorders>
              <w:top w:val="single" w:color="CCCCCC" w:sz="4"/>
              <w:left w:val="single" w:color="CCCCCC" w:sz="4"/>
              <w:bottom w:val="single" w:color="CCCCCC" w:sz="4"/>
              <w:right w:val="single" w:color="CCCCCC" w:sz="4"/>
            </w:tcBorders>
            <w:shd w:fill="F5EFE3" w:color="auto" w:val="clear"/>
            <w:tcMar>
              <w:top w:type="dxa" w:w="100"/>
              <w:left w:type="dxa" w:w="140"/>
              <w:bottom w:type="dxa" w:w="100"/>
              <w:right w:type="dxa" w:w="140"/>
            </w:tcMar>
          </w:tcPr>
          <w:p>
            <w:pPr>
              <w:jc w:val="right"/>
            </w:pPr>
            <w:r>
              <w:rPr>
                <w:b/>
                <w:bCs/>
                <w:color w:val="1A1A1A"/>
                <w:sz w:val="20"/>
                <w:szCs w:val="20"/>
              </w:rPr>
              <w:t xml:space="preserve">$2 M</w:t>
            </w:r>
          </w:p>
        </w:tc>
      </w:tr>
      <w:tr>
        <w:tc>
          <w:tcPr>
            <w:tcW w:type="dxa" w:w="6360"/>
            <w:tcBorders>
              <w:top w:val="single" w:color="CCCCCC" w:sz="4"/>
              <w:left w:val="single" w:color="CCCCCC" w:sz="4"/>
              <w:bottom w:val="single" w:color="CCCCCC" w:sz="4"/>
              <w:right w:val="single" w:color="CCCCCC" w:sz="4"/>
            </w:tcBorders>
            <w:shd w:fill="FFFFFF" w:color="auto" w:val="clear"/>
            <w:tcMar>
              <w:top w:type="dxa" w:w="100"/>
              <w:left w:type="dxa" w:w="140"/>
              <w:bottom w:type="dxa" w:w="100"/>
              <w:right w:type="dxa" w:w="140"/>
            </w:tcMar>
          </w:tcPr>
          <w:p>
            <w:pPr>
              <w:jc w:val="left"/>
            </w:pPr>
            <w:r>
              <w:rPr>
                <w:b w:val="false"/>
                <w:bCs w:val="false"/>
                <w:color w:val="1A1A1A"/>
                <w:sz w:val="20"/>
                <w:szCs w:val="20"/>
              </w:rPr>
              <w:t xml:space="preserve">Marketing and admissions</w:t>
            </w:r>
          </w:p>
        </w:tc>
        <w:tc>
          <w:tcPr>
            <w:tcW w:type="dxa" w:w="3000"/>
            <w:tcBorders>
              <w:top w:val="single" w:color="CCCCCC" w:sz="4"/>
              <w:left w:val="single" w:color="CCCCCC" w:sz="4"/>
              <w:bottom w:val="single" w:color="CCCCCC" w:sz="4"/>
              <w:right w:val="single" w:color="CCCCCC" w:sz="4"/>
            </w:tcBorders>
            <w:shd w:fill="FFFFFF" w:color="auto" w:val="clear"/>
            <w:tcMar>
              <w:top w:type="dxa" w:w="100"/>
              <w:left w:type="dxa" w:w="140"/>
              <w:bottom w:type="dxa" w:w="100"/>
              <w:right w:type="dxa" w:w="140"/>
            </w:tcMar>
          </w:tcPr>
          <w:p>
            <w:pPr>
              <w:jc w:val="right"/>
            </w:pPr>
            <w:r>
              <w:rPr>
                <w:b/>
                <w:bCs/>
                <w:color w:val="1A1A1A"/>
                <w:sz w:val="20"/>
                <w:szCs w:val="20"/>
              </w:rPr>
              <w:t xml:space="preserve">$2 M</w:t>
            </w:r>
          </w:p>
        </w:tc>
      </w:tr>
      <w:tr>
        <w:tc>
          <w:tcPr>
            <w:tcW w:type="dxa" w:w="6360"/>
            <w:tcBorders>
              <w:top w:val="single" w:color="CCCCCC" w:sz="4"/>
              <w:left w:val="single" w:color="CCCCCC" w:sz="4"/>
              <w:bottom w:val="single" w:color="CCCCCC" w:sz="4"/>
              <w:right w:val="single" w:color="CCCCCC" w:sz="4"/>
            </w:tcBorders>
            <w:shd w:fill="F5EFE3" w:color="auto" w:val="clear"/>
            <w:tcMar>
              <w:top w:type="dxa" w:w="100"/>
              <w:left w:type="dxa" w:w="140"/>
              <w:bottom w:type="dxa" w:w="100"/>
              <w:right w:type="dxa" w:w="140"/>
            </w:tcMar>
          </w:tcPr>
          <w:p>
            <w:pPr>
              <w:jc w:val="left"/>
            </w:pPr>
            <w:r>
              <w:rPr>
                <w:b w:val="false"/>
                <w:bCs w:val="false"/>
                <w:color w:val="1A1A1A"/>
                <w:sz w:val="20"/>
                <w:szCs w:val="20"/>
              </w:rPr>
              <w:t xml:space="preserve">Insurance, legal, administration</w:t>
            </w:r>
          </w:p>
        </w:tc>
        <w:tc>
          <w:tcPr>
            <w:tcW w:type="dxa" w:w="3000"/>
            <w:tcBorders>
              <w:top w:val="single" w:color="CCCCCC" w:sz="4"/>
              <w:left w:val="single" w:color="CCCCCC" w:sz="4"/>
              <w:bottom w:val="single" w:color="CCCCCC" w:sz="4"/>
              <w:right w:val="single" w:color="CCCCCC" w:sz="4"/>
            </w:tcBorders>
            <w:shd w:fill="F5EFE3" w:color="auto" w:val="clear"/>
            <w:tcMar>
              <w:top w:type="dxa" w:w="100"/>
              <w:left w:type="dxa" w:w="140"/>
              <w:bottom w:type="dxa" w:w="100"/>
              <w:right w:type="dxa" w:w="140"/>
            </w:tcMar>
          </w:tcPr>
          <w:p>
            <w:pPr>
              <w:jc w:val="right"/>
            </w:pPr>
            <w:r>
              <w:rPr>
                <w:b/>
                <w:bCs/>
                <w:color w:val="1A1A1A"/>
                <w:sz w:val="20"/>
                <w:szCs w:val="20"/>
              </w:rPr>
              <w:t xml:space="preserve">$2 – 3 M</w:t>
            </w:r>
          </w:p>
        </w:tc>
      </w:tr>
      <w:tr>
        <w:tc>
          <w:tcPr>
            <w:tcW w:type="dxa" w:w="6360"/>
            <w:tcBorders>
              <w:top w:val="single" w:color="CCCCCC" w:sz="4"/>
              <w:left w:val="single" w:color="CCCCCC" w:sz="4"/>
              <w:bottom w:val="single" w:color="CCCCCC" w:sz="4"/>
              <w:right w:val="single" w:color="CCCCCC" w:sz="4"/>
            </w:tcBorders>
            <w:shd w:fill="1A1A1A" w:color="auto" w:val="clear"/>
            <w:tcMar>
              <w:top w:type="dxa" w:w="100"/>
              <w:left w:type="dxa" w:w="140"/>
              <w:bottom w:type="dxa" w:w="100"/>
              <w:right w:type="dxa" w:w="140"/>
            </w:tcMar>
          </w:tcPr>
          <w:p>
            <w:pPr>
              <w:jc w:val="left"/>
            </w:pPr>
            <w:r>
              <w:rPr>
                <w:b/>
                <w:bCs/>
                <w:color w:val="FFFFFF"/>
                <w:sz w:val="20"/>
                <w:szCs w:val="20"/>
              </w:rPr>
              <w:t xml:space="preserve">Total annual operating budget</w:t>
            </w:r>
          </w:p>
        </w:tc>
        <w:tc>
          <w:tcPr>
            <w:tcW w:type="dxa" w:w="3000"/>
            <w:tcBorders>
              <w:top w:val="single" w:color="CCCCCC" w:sz="4"/>
              <w:left w:val="single" w:color="CCCCCC" w:sz="4"/>
              <w:bottom w:val="single" w:color="CCCCCC" w:sz="4"/>
              <w:right w:val="single" w:color="CCCCCC" w:sz="4"/>
            </w:tcBorders>
            <w:shd w:fill="1A1A1A" w:color="auto" w:val="clear"/>
            <w:tcMar>
              <w:top w:type="dxa" w:w="100"/>
              <w:left w:type="dxa" w:w="140"/>
              <w:bottom w:type="dxa" w:w="100"/>
              <w:right w:type="dxa" w:w="140"/>
            </w:tcMar>
          </w:tcPr>
          <w:p>
            <w:pPr>
              <w:jc w:val="right"/>
            </w:pPr>
            <w:r>
              <w:rPr>
                <w:b/>
                <w:bCs/>
                <w:color w:val="FFFFFF"/>
                <w:sz w:val="20"/>
                <w:szCs w:val="20"/>
              </w:rPr>
              <w:t xml:space="preserve">~$30 – 35 M</w:t>
            </w:r>
          </w:p>
        </w:tc>
      </w:tr>
    </w:tbl>
    <w:p>
      <w:r>
        <w:br w:type="page"/>
      </w:r>
    </w:p>
    <w:p>
      <w:pPr>
        <w:spacing w:after="60" w:before="80"/>
      </w:pPr>
      <w:r>
        <w:rPr>
          <w:rFonts w:ascii="Arial" w:cs="Arial" w:eastAsia="Arial" w:hAnsi="Arial"/>
          <w:b/>
          <w:bCs/>
          <w:color w:val="8B2A2A"/>
          <w:spacing w:val="40"/>
          <w:sz w:val="16"/>
          <w:szCs w:val="16"/>
        </w:rPr>
        <w:t xml:space="preserve">§ VI  ·  TUITION &amp; REVENUE</w:t>
      </w:r>
    </w:p>
    <w:p>
      <w:pPr>
        <w:pStyle w:val="Heading1"/>
        <w:pBdr>
          <w:bottom w:val="single" w:color="8B2A2A" w:sz="8" w:space="6"/>
        </w:pBdr>
        <w:spacing w:after="180" w:before="360"/>
      </w:pPr>
      <w:r>
        <w:rPr>
          <w:rFonts w:ascii="Georgia" w:cs="Georgia" w:eastAsia="Georgia" w:hAnsi="Georgia"/>
          <w:b/>
          <w:bCs/>
          <w:color w:val="8B2A2A"/>
          <w:sz w:val="32"/>
          <w:szCs w:val="32"/>
        </w:rPr>
        <w:t xml:space="preserve">Deliberately positioned below private peers.</w:t>
      </w:r>
    </w:p>
    <w:p>
      <w:pPr>
        <w:spacing w:after="120" w:line="300"/>
      </w:pPr>
      <w:r>
        <w:t xml:space="preserve">Many private liberal arts colleges now charge $60,000 to $90,000 per year before financial aid. Bootcamp for Democracy will differentiate itself on price as well as on mission.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4"/>
              <w:left w:val="single" w:color="CCCCCC" w:sz="4"/>
              <w:bottom w:val="single" w:color="CCCCCC" w:sz="4"/>
              <w:right w:val="single" w:color="CCCCCC" w:sz="4"/>
            </w:tcBorders>
            <w:shd w:fill="FFFFFF" w:color="auto" w:val="clear"/>
            <w:tcMar>
              <w:top w:type="dxa" w:w="100"/>
              <w:left w:type="dxa" w:w="140"/>
              <w:bottom w:type="dxa" w:w="100"/>
              <w:right w:type="dxa" w:w="140"/>
            </w:tcMar>
          </w:tcPr>
          <w:p>
            <w:pPr>
              <w:jc w:val="left"/>
            </w:pPr>
            <w:r>
              <w:rPr>
                <w:b w:val="false"/>
                <w:bCs w:val="false"/>
                <w:color w:val="1A1A1A"/>
                <w:sz w:val="20"/>
                <w:szCs w:val="20"/>
              </w:rPr>
              <w:t xml:space="preserve">Tuition</w:t>
            </w:r>
          </w:p>
        </w:tc>
        <w:tc>
          <w:tcPr>
            <w:tcW w:type="dxa" w:w="4680"/>
            <w:tcBorders>
              <w:top w:val="single" w:color="CCCCCC" w:sz="4"/>
              <w:left w:val="single" w:color="CCCCCC" w:sz="4"/>
              <w:bottom w:val="single" w:color="CCCCCC" w:sz="4"/>
              <w:right w:val="single" w:color="CCCCCC" w:sz="4"/>
            </w:tcBorders>
            <w:shd w:fill="FFFFFF" w:color="auto" w:val="clear"/>
            <w:tcMar>
              <w:top w:type="dxa" w:w="100"/>
              <w:left w:type="dxa" w:w="140"/>
              <w:bottom w:type="dxa" w:w="100"/>
              <w:right w:type="dxa" w:w="140"/>
            </w:tcMar>
          </w:tcPr>
          <w:p>
            <w:pPr>
              <w:jc w:val="right"/>
            </w:pPr>
            <w:r>
              <w:rPr>
                <w:b/>
                <w:bCs/>
                <w:color w:val="1A1A1A"/>
                <w:sz w:val="20"/>
                <w:szCs w:val="20"/>
              </w:rPr>
              <w:t xml:space="preserve">$28,000 – 32,000</w:t>
            </w:r>
          </w:p>
        </w:tc>
      </w:tr>
      <w:tr>
        <w:tc>
          <w:tcPr>
            <w:tcW w:type="dxa" w:w="4680"/>
            <w:tcBorders>
              <w:top w:val="single" w:color="CCCCCC" w:sz="4"/>
              <w:left w:val="single" w:color="CCCCCC" w:sz="4"/>
              <w:bottom w:val="single" w:color="CCCCCC" w:sz="4"/>
              <w:right w:val="single" w:color="CCCCCC" w:sz="4"/>
            </w:tcBorders>
            <w:shd w:fill="F5EFE3" w:color="auto" w:val="clear"/>
            <w:tcMar>
              <w:top w:type="dxa" w:w="100"/>
              <w:left w:type="dxa" w:w="140"/>
              <w:bottom w:type="dxa" w:w="100"/>
              <w:right w:type="dxa" w:w="140"/>
            </w:tcMar>
          </w:tcPr>
          <w:p>
            <w:pPr>
              <w:jc w:val="left"/>
            </w:pPr>
            <w:r>
              <w:rPr>
                <w:b/>
                <w:bCs/>
                <w:color w:val="1A1A1A"/>
                <w:sz w:val="20"/>
                <w:szCs w:val="20"/>
              </w:rPr>
              <w:t xml:space="preserve">Housing &amp; Meals</w:t>
            </w:r>
          </w:p>
        </w:tc>
        <w:tc>
          <w:tcPr>
            <w:tcW w:type="dxa" w:w="4680"/>
            <w:tcBorders>
              <w:top w:val="single" w:color="CCCCCC" w:sz="4"/>
              <w:left w:val="single" w:color="CCCCCC" w:sz="4"/>
              <w:bottom w:val="single" w:color="CCCCCC" w:sz="4"/>
              <w:right w:val="single" w:color="CCCCCC" w:sz="4"/>
            </w:tcBorders>
            <w:shd w:fill="F5EFE3" w:color="auto" w:val="clear"/>
            <w:tcMar>
              <w:top w:type="dxa" w:w="100"/>
              <w:left w:type="dxa" w:w="140"/>
              <w:bottom w:type="dxa" w:w="100"/>
              <w:right w:type="dxa" w:w="140"/>
            </w:tcMar>
          </w:tcPr>
          <w:p>
            <w:pPr>
              <w:jc w:val="right"/>
            </w:pPr>
            <w:r>
              <w:rPr>
                <w:b/>
                <w:bCs/>
                <w:color w:val="1A1A1A"/>
                <w:sz w:val="20"/>
                <w:szCs w:val="20"/>
              </w:rPr>
              <w:t xml:space="preserve">$12,000 – 15,000</w:t>
            </w:r>
          </w:p>
        </w:tc>
      </w:tr>
      <w:tr>
        <w:tc>
          <w:tcPr>
            <w:tcW w:type="dxa" w:w="4680"/>
            <w:tcBorders>
              <w:top w:val="single" w:color="CCCCCC" w:sz="4"/>
              <w:left w:val="single" w:color="CCCCCC" w:sz="4"/>
              <w:bottom w:val="single" w:color="CCCCCC" w:sz="4"/>
              <w:right w:val="single" w:color="CCCCCC" w:sz="4"/>
            </w:tcBorders>
            <w:shd w:fill="FFFFFF" w:color="auto" w:val="clear"/>
            <w:tcMar>
              <w:top w:type="dxa" w:w="100"/>
              <w:left w:type="dxa" w:w="140"/>
              <w:bottom w:type="dxa" w:w="100"/>
              <w:right w:type="dxa" w:w="140"/>
            </w:tcMar>
          </w:tcPr>
          <w:p>
            <w:pPr>
              <w:jc w:val="left"/>
            </w:pPr>
            <w:r>
              <w:rPr>
                <w:b w:val="false"/>
                <w:bCs w:val="false"/>
                <w:color w:val="1A1A1A"/>
                <w:sz w:val="20"/>
                <w:szCs w:val="20"/>
              </w:rPr>
              <w:t xml:space="preserve">Total cost of attendance (pre-scholarship)</w:t>
            </w:r>
          </w:p>
        </w:tc>
        <w:tc>
          <w:tcPr>
            <w:tcW w:type="dxa" w:w="4680"/>
            <w:tcBorders>
              <w:top w:val="single" w:color="CCCCCC" w:sz="4"/>
              <w:left w:val="single" w:color="CCCCCC" w:sz="4"/>
              <w:bottom w:val="single" w:color="CCCCCC" w:sz="4"/>
              <w:right w:val="single" w:color="CCCCCC" w:sz="4"/>
            </w:tcBorders>
            <w:shd w:fill="FFFFFF" w:color="auto" w:val="clear"/>
            <w:tcMar>
              <w:top w:type="dxa" w:w="100"/>
              <w:left w:type="dxa" w:w="140"/>
              <w:bottom w:type="dxa" w:w="100"/>
              <w:right w:type="dxa" w:w="140"/>
            </w:tcMar>
          </w:tcPr>
          <w:p>
            <w:pPr>
              <w:jc w:val="right"/>
            </w:pPr>
            <w:r>
              <w:rPr>
                <w:b/>
                <w:bCs/>
                <w:color w:val="1A1A1A"/>
                <w:sz w:val="20"/>
                <w:szCs w:val="20"/>
              </w:rPr>
              <w:t xml:space="preserve">$42,000 – 47,000</w:t>
            </w:r>
          </w:p>
        </w:tc>
      </w:tr>
    </w:tbl>
    <w:p>
      <w:pPr>
        <w:spacing w:after="120" w:line="300"/>
      </w:pPr>
      <w:r>
        <w:t xml:space="preserve">This positions the college well below most private competitors while remaining significantly above public university tuition — a strategically defensible middle range.</w:t>
      </w:r>
    </w:p>
    <w:p>
      <w:pPr>
        <w:pStyle w:val="Heading2"/>
        <w:spacing w:after="120" w:before="280"/>
      </w:pPr>
      <w:r>
        <w:rPr>
          <w:rFonts w:ascii="Georgia" w:cs="Georgia" w:eastAsia="Georgia" w:hAnsi="Georgia"/>
          <w:b/>
          <w:bCs/>
          <w:color w:val="1A1A1A"/>
          <w:sz w:val="26"/>
          <w:szCs w:val="26"/>
        </w:rPr>
        <w:t xml:space="preserve">Revenue model</w:t>
      </w:r>
    </w:p>
    <w:p>
      <w:pPr>
        <w:spacing w:after="120" w:line="300"/>
      </w:pPr>
      <w:r>
        <w:t xml:space="preserve">At 1,000 students with an average net tuition (after scholarships) of approximately $24,000, tuition revenue alone is roughly $24 million. Additional revenue streams:</w:t>
      </w:r>
    </w:p>
    <w:p>
      <w:pPr>
        <w:pStyle w:val="ListParagraph"/>
        <w:numPr>
          <w:ilvl w:val="0"/>
          <w:numId w:val="2"/>
        </w:numPr>
        <w:spacing w:after="60"/>
      </w:pPr>
      <w:r>
        <w:t xml:space="preserve">Residence and dining fees</w:t>
      </w:r>
    </w:p>
    <w:p>
      <w:pPr>
        <w:pStyle w:val="ListParagraph"/>
        <w:numPr>
          <w:ilvl w:val="0"/>
          <w:numId w:val="2"/>
        </w:numPr>
        <w:spacing w:after="60"/>
      </w:pPr>
      <w:r>
        <w:t xml:space="preserve">Executive education programs</w:t>
      </w:r>
    </w:p>
    <w:p>
      <w:pPr>
        <w:pStyle w:val="ListParagraph"/>
        <w:numPr>
          <w:ilvl w:val="0"/>
          <w:numId w:val="2"/>
        </w:numPr>
        <w:spacing w:after="60"/>
      </w:pPr>
      <w:r>
        <w:t xml:space="preserve">Summer institutes</w:t>
      </w:r>
    </w:p>
    <w:p>
      <w:pPr>
        <w:pStyle w:val="ListParagraph"/>
        <w:numPr>
          <w:ilvl w:val="0"/>
          <w:numId w:val="2"/>
        </w:numPr>
        <w:spacing w:after="60"/>
      </w:pPr>
      <w:r>
        <w:t xml:space="preserve">Public leadership certificates</w:t>
      </w:r>
    </w:p>
    <w:p>
      <w:pPr>
        <w:pStyle w:val="ListParagraph"/>
        <w:numPr>
          <w:ilvl w:val="0"/>
          <w:numId w:val="2"/>
        </w:numPr>
        <w:spacing w:after="60"/>
      </w:pPr>
      <w:r>
        <w:t xml:space="preserve">Online courses</w:t>
      </w:r>
    </w:p>
    <w:p>
      <w:pPr>
        <w:pStyle w:val="ListParagraph"/>
        <w:numPr>
          <w:ilvl w:val="0"/>
          <w:numId w:val="2"/>
        </w:numPr>
        <w:spacing w:after="60"/>
      </w:pPr>
      <w:r>
        <w:t xml:space="preserve">Philanthropy and endowment income</w:t>
      </w:r>
    </w:p>
    <w:p>
      <w:pPr>
        <w:pStyle w:val="ListParagraph"/>
        <w:numPr>
          <w:ilvl w:val="0"/>
          <w:numId w:val="2"/>
        </w:numPr>
        <w:spacing w:after="60"/>
      </w:pPr>
      <w:r>
        <w:t xml:space="preserve">Grants for civic education</w:t>
      </w:r>
    </w:p>
    <w:p>
      <w:pPr>
        <w:pStyle w:val="ListParagraph"/>
        <w:numPr>
          <w:ilvl w:val="0"/>
          <w:numId w:val="2"/>
        </w:numPr>
        <w:spacing w:after="60"/>
      </w:pPr>
      <w:r>
        <w:t xml:space="preserve">Conferences and events</w:t>
      </w:r>
    </w:p>
    <w:p>
      <w:pPr>
        <w:pBdr>
          <w:left w:val="single" w:color="8B2A2A" w:sz="24" w:space="12"/>
        </w:pBdr>
        <w:shd w:fill="F5EFE3" w:color="auto" w:val="clear"/>
        <w:spacing w:after="200" w:before="200"/>
      </w:pPr>
      <w:r>
        <w:rPr>
          <w:rFonts w:ascii="Georgia" w:cs="Georgia" w:eastAsia="Georgia" w:hAnsi="Georgia"/>
          <w:i/>
          <w:iCs/>
          <w:color w:val="1A1A1A"/>
          <w:sz w:val="24"/>
          <w:szCs w:val="24"/>
        </w:rPr>
        <w:t xml:space="preserve">Combined, these streams bring total annual revenues into the $35 – 40 million range — approximately matching operating costs at maturity.</w:t>
      </w:r>
    </w:p>
    <w:p>
      <w:r>
        <w:br w:type="page"/>
      </w:r>
    </w:p>
    <w:p>
      <w:pPr>
        <w:spacing w:after="60" w:before="80"/>
      </w:pPr>
      <w:r>
        <w:rPr>
          <w:rFonts w:ascii="Arial" w:cs="Arial" w:eastAsia="Arial" w:hAnsi="Arial"/>
          <w:b/>
          <w:bCs/>
          <w:color w:val="8B2A2A"/>
          <w:spacing w:val="40"/>
          <w:sz w:val="16"/>
          <w:szCs w:val="16"/>
        </w:rPr>
        <w:t xml:space="preserve">§ VII  ·  PATHWAYS FOR GROWTH</w:t>
      </w:r>
    </w:p>
    <w:p>
      <w:pPr>
        <w:pStyle w:val="Heading1"/>
        <w:pBdr>
          <w:bottom w:val="single" w:color="8B2A2A" w:sz="8" w:space="6"/>
        </w:pBdr>
        <w:spacing w:after="180" w:before="360"/>
      </w:pPr>
      <w:r>
        <w:rPr>
          <w:rFonts w:ascii="Georgia" w:cs="Georgia" w:eastAsia="Georgia" w:hAnsi="Georgia"/>
          <w:b/>
          <w:bCs/>
          <w:color w:val="8B2A2A"/>
          <w:sz w:val="32"/>
          <w:szCs w:val="32"/>
        </w:rPr>
        <w:t xml:space="preserve">Three schools. One campus. One mission.</w:t>
      </w:r>
    </w:p>
    <w:p>
      <w:pPr>
        <w:spacing w:after="120" w:line="300"/>
      </w:pPr>
      <w:r>
        <w:t xml:space="preserve">The single feature most likely to transform the economics of the institution is the creation of three parallel schools that share the same campus, faculty, and Democracy Center.</w:t>
      </w:r>
    </w:p>
    <w:p>
      <w:pPr>
        <w:pStyle w:val="Heading3"/>
        <w:spacing w:after="80" w:before="200"/>
      </w:pPr>
      <w:r>
        <w:rPr>
          <w:rFonts w:ascii="Georgia" w:cs="Georgia" w:eastAsia="Georgia" w:hAnsi="Georgia"/>
          <w:b/>
          <w:bCs/>
          <w:caps w:val="false"/>
          <w:color w:val="8B2A2A"/>
          <w:sz w:val="22"/>
          <w:szCs w:val="22"/>
        </w:rPr>
        <w:t xml:space="preserve">1  ·  The Undergraduate College</w:t>
      </w:r>
    </w:p>
    <w:p>
      <w:pPr>
        <w:spacing w:after="120" w:line="300"/>
      </w:pPr>
      <w:r>
        <w:t xml:space="preserve">The traditional four-year Bachelor of Arts in Democratic Leadership — the founding program described elsewhere in the master plan.</w:t>
      </w:r>
    </w:p>
    <w:p>
      <w:pPr>
        <w:pStyle w:val="Heading3"/>
        <w:spacing w:after="80" w:before="200"/>
      </w:pPr>
      <w:r>
        <w:rPr>
          <w:rFonts w:ascii="Georgia" w:cs="Georgia" w:eastAsia="Georgia" w:hAnsi="Georgia"/>
          <w:b/>
          <w:bCs/>
          <w:caps w:val="false"/>
          <w:color w:val="8B2A2A"/>
          <w:sz w:val="22"/>
          <w:szCs w:val="22"/>
        </w:rPr>
        <w:t xml:space="preserve">2  ·  Graduate School of Public Leadership</w:t>
      </w:r>
    </w:p>
    <w:p>
      <w:pPr>
        <w:spacing w:after="120" w:line="300"/>
      </w:pPr>
      <w:r>
        <w:t xml:space="preserve">One-year master's programs in fields the country urgently needs and few institutions serve:</w:t>
      </w:r>
    </w:p>
    <w:p>
      <w:pPr>
        <w:pStyle w:val="ListParagraph"/>
        <w:numPr>
          <w:ilvl w:val="0"/>
          <w:numId w:val="2"/>
        </w:numPr>
        <w:spacing w:after="60"/>
      </w:pPr>
      <w:r>
        <w:t xml:space="preserve">Campaign management</w:t>
      </w:r>
    </w:p>
    <w:p>
      <w:pPr>
        <w:pStyle w:val="ListParagraph"/>
        <w:numPr>
          <w:ilvl w:val="0"/>
          <w:numId w:val="2"/>
        </w:numPr>
        <w:spacing w:after="60"/>
      </w:pPr>
      <w:r>
        <w:t xml:space="preserve">Public policy</w:t>
      </w:r>
    </w:p>
    <w:p>
      <w:pPr>
        <w:pStyle w:val="ListParagraph"/>
        <w:numPr>
          <w:ilvl w:val="0"/>
          <w:numId w:val="2"/>
        </w:numPr>
        <w:spacing w:after="60"/>
      </w:pPr>
      <w:r>
        <w:t xml:space="preserve">Election administration</w:t>
      </w:r>
    </w:p>
    <w:p>
      <w:pPr>
        <w:pStyle w:val="ListParagraph"/>
        <w:numPr>
          <w:ilvl w:val="0"/>
          <w:numId w:val="2"/>
        </w:numPr>
        <w:spacing w:after="60"/>
      </w:pPr>
      <w:r>
        <w:t xml:space="preserve">Nonprofit leadership</w:t>
      </w:r>
    </w:p>
    <w:p>
      <w:pPr>
        <w:pStyle w:val="ListParagraph"/>
        <w:numPr>
          <w:ilvl w:val="0"/>
          <w:numId w:val="2"/>
        </w:numPr>
        <w:spacing w:after="60"/>
      </w:pPr>
      <w:r>
        <w:t xml:space="preserve">Civic technology</w:t>
      </w:r>
    </w:p>
    <w:p>
      <w:pPr>
        <w:pStyle w:val="Heading3"/>
        <w:spacing w:after="80" w:before="200"/>
      </w:pPr>
      <w:r>
        <w:rPr>
          <w:rFonts w:ascii="Georgia" w:cs="Georgia" w:eastAsia="Georgia" w:hAnsi="Georgia"/>
          <w:b/>
          <w:bCs/>
          <w:caps w:val="false"/>
          <w:color w:val="8B2A2A"/>
          <w:sz w:val="22"/>
          <w:szCs w:val="22"/>
        </w:rPr>
        <w:t xml:space="preserve">3  ·  Executive Education</w:t>
      </w:r>
    </w:p>
    <w:p>
      <w:pPr>
        <w:spacing w:after="120" w:line="300"/>
      </w:pPr>
      <w:r>
        <w:t xml:space="preserve">Short residential and hybrid programs for practitioners already in public life:</w:t>
      </w:r>
    </w:p>
    <w:p>
      <w:pPr>
        <w:pStyle w:val="ListParagraph"/>
        <w:numPr>
          <w:ilvl w:val="0"/>
          <w:numId w:val="2"/>
        </w:numPr>
        <w:spacing w:after="60"/>
      </w:pPr>
      <w:r>
        <w:t xml:space="preserve">Newly elected officials</w:t>
      </w:r>
    </w:p>
    <w:p>
      <w:pPr>
        <w:pStyle w:val="ListParagraph"/>
        <w:numPr>
          <w:ilvl w:val="0"/>
          <w:numId w:val="2"/>
        </w:numPr>
        <w:spacing w:after="60"/>
      </w:pPr>
      <w:r>
        <w:t xml:space="preserve">School board members</w:t>
      </w:r>
    </w:p>
    <w:p>
      <w:pPr>
        <w:pStyle w:val="ListParagraph"/>
        <w:numPr>
          <w:ilvl w:val="0"/>
          <w:numId w:val="2"/>
        </w:numPr>
        <w:spacing w:after="60"/>
      </w:pPr>
      <w:r>
        <w:t xml:space="preserve">City council members</w:t>
      </w:r>
    </w:p>
    <w:p>
      <w:pPr>
        <w:pStyle w:val="ListParagraph"/>
        <w:numPr>
          <w:ilvl w:val="0"/>
          <w:numId w:val="2"/>
        </w:numPr>
        <w:spacing w:after="60"/>
      </w:pPr>
      <w:r>
        <w:t xml:space="preserve">Nonprofit executives</w:t>
      </w:r>
    </w:p>
    <w:p>
      <w:pPr>
        <w:pStyle w:val="ListParagraph"/>
        <w:numPr>
          <w:ilvl w:val="0"/>
          <w:numId w:val="2"/>
        </w:numPr>
        <w:spacing w:after="60"/>
      </w:pPr>
      <w:r>
        <w:t xml:space="preserve">Campaign volunteers and staff</w:t>
      </w:r>
    </w:p>
    <w:p>
      <w:pPr>
        <w:pStyle w:val="ListParagraph"/>
        <w:numPr>
          <w:ilvl w:val="0"/>
          <w:numId w:val="2"/>
        </w:numPr>
        <w:spacing w:after="60"/>
      </w:pPr>
      <w:r>
        <w:t xml:space="preserve">Legislative staff</w:t>
      </w:r>
    </w:p>
    <w:p>
      <w:pPr>
        <w:pStyle w:val="ListParagraph"/>
        <w:numPr>
          <w:ilvl w:val="0"/>
          <w:numId w:val="2"/>
        </w:numPr>
        <w:spacing w:after="60"/>
      </w:pPr>
      <w:r>
        <w:t xml:space="preserve">Journalists covering government</w:t>
      </w:r>
    </w:p>
    <w:p>
      <w:pPr>
        <w:pStyle w:val="ListParagraph"/>
        <w:numPr>
          <w:ilvl w:val="0"/>
          <w:numId w:val="2"/>
        </w:numPr>
        <w:spacing w:after="60"/>
      </w:pPr>
      <w:r>
        <w:t xml:space="preserve">Election workers</w:t>
      </w:r>
    </w:p>
    <w:p>
      <w:pPr>
        <w:spacing w:after="120" w:line="300"/>
      </w:pPr>
      <w:r>
        <w:t xml:space="preserve">Certificate programs of this kind can generate significant additional revenue while directly advancing the college's mission.</w:t>
      </w:r>
    </w:p>
    <w:p>
      <w:r>
        <w:br w:type="page"/>
      </w:r>
    </w:p>
    <w:p>
      <w:pPr>
        <w:spacing w:after="60" w:before="80"/>
      </w:pPr>
      <w:r>
        <w:rPr>
          <w:rFonts w:ascii="Arial" w:cs="Arial" w:eastAsia="Arial" w:hAnsi="Arial"/>
          <w:b/>
          <w:bCs/>
          <w:color w:val="8B2A2A"/>
          <w:spacing w:val="40"/>
          <w:sz w:val="16"/>
          <w:szCs w:val="16"/>
        </w:rPr>
        <w:t xml:space="preserve">§ VIII  ·  A LONG-TERM VISION</w:t>
      </w:r>
    </w:p>
    <w:p>
      <w:pPr>
        <w:pStyle w:val="Heading1"/>
        <w:pBdr>
          <w:bottom w:val="single" w:color="8B2A2A" w:sz="8" w:space="6"/>
        </w:pBdr>
        <w:spacing w:after="180" w:before="360"/>
      </w:pPr>
      <w:r>
        <w:rPr>
          <w:rFonts w:ascii="Georgia" w:cs="Georgia" w:eastAsia="Georgia" w:hAnsi="Georgia"/>
          <w:b/>
          <w:bCs/>
          <w:color w:val="8B2A2A"/>
          <w:sz w:val="32"/>
          <w:szCs w:val="32"/>
        </w:rPr>
        <w:t xml:space="preserve">The Democracy Institute.</w:t>
      </w:r>
    </w:p>
    <w:p>
      <w:pPr>
        <w:spacing w:after="120" w:line="300"/>
      </w:pPr>
      <w:r>
        <w:t xml:space="preserve">If the college develops a national reputation, we envision a Democracy Institute operating alongside it: hosting annual conferences, conducting research on civic engagement and democratic resilience, publishing policy reports, and providing training for public officials.</w:t>
      </w:r>
    </w:p>
    <w:p>
      <w:pPr>
        <w:spacing w:after="120" w:line="300"/>
      </w:pPr>
      <w:r>
        <w:t xml:space="preserve">That combination — a selective undergraduate college, a graduate school, executive education, and a public-facing institute — diversifies revenue and makes the institution far more resilient than the many small liberal arts colleges that depend almost entirely on undergraduate tuition.</w:t>
      </w:r>
    </w:p>
    <w:p>
      <w:pPr>
        <w:pStyle w:val="Heading2"/>
        <w:spacing w:after="120" w:before="280"/>
      </w:pPr>
      <w:r>
        <w:rPr>
          <w:rFonts w:ascii="Georgia" w:cs="Georgia" w:eastAsia="Georgia" w:hAnsi="Georgia"/>
          <w:b/>
          <w:bCs/>
          <w:color w:val="1A1A1A"/>
          <w:sz w:val="26"/>
          <w:szCs w:val="26"/>
        </w:rPr>
        <w:t xml:space="preserve">The principal challenge</w:t>
      </w:r>
    </w:p>
    <w:p>
      <w:pPr>
        <w:spacing w:after="120" w:line="300"/>
      </w:pPr>
      <w:r>
        <w:t xml:space="preserve">The most difficult problem is not academic design. It is fundraising: securing capital for the initial campus and building an endowment sufficient to underwrite scholarships and long-term financial stability.</w:t>
      </w:r>
    </w:p>
    <w:p>
      <w:pPr>
        <w:spacing w:after="120" w:line="300"/>
      </w:pPr>
      <w:r>
        <w:t xml:space="preserve">Once established, however, the focused mission and relatively modest physical footprint make Bootcamp for Democracy a comparatively efficient private institution — one whose per-student cost structure can undercut most private peers while offering a curriculum none of them can match.</w:t>
      </w:r>
    </w:p>
    <w:p>
      <w:pPr>
        <w:pBdr>
          <w:top w:val="single" w:color="8B2A2A" w:sz="12" w:space="12"/>
        </w:pBdr>
        <w:spacing w:before="400"/>
      </w:pPr>
      <w:r>
        <w:t xml:space="preserve"/>
      </w:r>
    </w:p>
    <w:p>
      <w:pPr>
        <w:spacing w:before="240"/>
        <w:jc w:val="center"/>
      </w:pPr>
      <w:r>
        <w:rPr>
          <w:rFonts w:ascii="Georgia" w:cs="Georgia" w:eastAsia="Georgia" w:hAnsi="Georgia"/>
          <w:i/>
          <w:iCs/>
          <w:color w:val="555555"/>
          <w:sz w:val="24"/>
          <w:szCs w:val="24"/>
        </w:rPr>
        <w:t xml:space="preserve">Democracy is not inherited. It is learned, practiced, and renewed by every generation.</w:t>
      </w:r>
    </w:p>
    <w:p>
      <w:pPr>
        <w:spacing w:before="120"/>
        <w:jc w:val="center"/>
      </w:pPr>
      <w:r>
        <w:rPr>
          <w:color w:val="555555"/>
          <w:spacing w:val="40"/>
          <w:sz w:val="18"/>
          <w:szCs w:val="18"/>
        </w:rPr>
        <w:t xml:space="preserve">— College Motto</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360"/>
      </w:tabs>
    </w:pPr>
    <w:r>
      <w:rPr>
        <w:color w:val="555555"/>
        <w:sz w:val="14"/>
        <w:szCs w:val="14"/>
      </w:rPr>
      <w:t xml:space="preserve">Founding Planning Committee  ·  Confidential Draft</w:t>
    </w:r>
    <w:r>
      <w:rPr>
        <w:sz w:val="14"/>
        <w:szCs w:val="14"/>
      </w:rPr>
      <w:t xml:space="preserve">	</w:t>
    </w:r>
    <w:r>
      <w:rPr>
        <w:b/>
        <w:bCs/>
        <w:color w:val="1A1A1A"/>
        <w:sz w:val="14"/>
        <w:szCs w:val="14"/>
      </w:rPr>
      <w:fldChar w:fldCharType="begin"/>
      <w:instrText xml:space="preserve">PAGE</w:instrText>
      <w:fldChar w:fldCharType="separate"/>
      <w:fldChar w:fldCharType="end"/>
    </w:r>
    <w:r>
      <w:rPr>
        <w:color w:val="555555"/>
        <w:sz w:val="14"/>
        <w:szCs w:val="14"/>
      </w:rPr>
      <w:t xml:space="preserve">  /  </w:t>
    </w:r>
    <w:r>
      <w:rPr>
        <w:color w:val="555555"/>
        <w:sz w:val="14"/>
        <w:szCs w:val="14"/>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4" w:space="4"/>
      </w:pBdr>
      <w:tabs>
        <w:tab w:val="right" w:pos="9360"/>
      </w:tabs>
    </w:pPr>
    <w:r>
      <w:rPr>
        <w:b/>
        <w:bCs/>
        <w:color w:val="8B2A2A"/>
        <w:spacing w:val="40"/>
        <w:sz w:val="16"/>
        <w:szCs w:val="16"/>
      </w:rPr>
      <w:t xml:space="preserve">Bootcamp for Democracy</w:t>
    </w:r>
    <w:r>
      <w:rPr>
        <w:i/>
        <w:iCs/>
        <w:color w:val="555555"/>
        <w:sz w:val="16"/>
        <w:szCs w:val="16"/>
      </w:rPr>
      <w:t xml:space="preserve">	A Preliminary Business Model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300"/>
      </w:pPr>
      <w:rPr>
        <w:color w:val="8B2A2A"/>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20"/>
      <w:outlineLvl w:val="0"/>
    </w:pPr>
    <w:rPr>
      <w:rFonts w:ascii="Georgia" w:cs="Georgia" w:eastAsia="Georgia" w:hAnsi="Georgia"/>
      <w:b/>
      <w:bCs/>
      <w:color w:val="8B2A2A"/>
      <w:sz w:val="32"/>
      <w:szCs w:val="32"/>
    </w:rPr>
  </w:style>
  <w:style w:type="paragraph" w:styleId="Heading2">
    <w:name w:val="Heading 2"/>
    <w:basedOn w:val="Normal"/>
    <w:next w:val="Normal"/>
    <w:qFormat/>
    <w:pPr>
      <w:spacing w:after="120" w:before="240"/>
      <w:outlineLvl w:val="1"/>
    </w:pPr>
    <w:rPr>
      <w:rFonts w:ascii="Georgia" w:cs="Georgia" w:eastAsia="Georgia" w:hAnsi="Georgia"/>
      <w:b/>
      <w:bCs/>
      <w:color w:val="1A1A1A"/>
      <w:sz w:val="26"/>
      <w:szCs w:val="26"/>
    </w:rPr>
  </w:style>
  <w:style w:type="paragraph" w:styleId="Heading3">
    <w:name w:val="Heading 3"/>
    <w:basedOn w:val="Normal"/>
    <w:next w:val="Normal"/>
    <w:qFormat/>
    <w:pPr>
      <w:spacing w:after="80" w:before="180"/>
      <w:outlineLvl w:val="2"/>
    </w:pPr>
    <w:rPr>
      <w:rFonts w:ascii="Georgia" w:cs="Georgia" w:eastAsia="Georgia" w:hAnsi="Georgia"/>
      <w:b/>
      <w:bCs/>
      <w:color w:val="8B2A2A"/>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Bootcamp for Democracy — A Preliminary Business Model</dc:title>
  <dc:creator>College of Democratic Leadership</dc:creator>
  <dc:description>Proposal for facilities, faculty, staffing, enrollment, and pathways for growth.</dc:description>
  <cp:lastModifiedBy>Un-named</cp:lastModifiedBy>
  <cp:revision>1</cp:revision>
  <dcterms:created xsi:type="dcterms:W3CDTF">2026-07-20T04:25:58.485Z</dcterms:created>
  <dcterms:modified xsi:type="dcterms:W3CDTF">2026-07-20T04:25:58.486Z</dcterms:modified>
</cp:coreProperties>
</file>

<file path=docProps/custom.xml><?xml version="1.0" encoding="utf-8"?>
<Properties xmlns="http://schemas.openxmlformats.org/officeDocument/2006/custom-properties" xmlns:vt="http://schemas.openxmlformats.org/officeDocument/2006/docPropsVTypes"/>
</file>